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392" w:rsidRPr="00F81B51" w:rsidRDefault="00F81B51" w:rsidP="00F81B51">
      <w:pPr>
        <w:spacing w:after="0"/>
        <w:jc w:val="center"/>
        <w:rPr>
          <w:sz w:val="40"/>
          <w:szCs w:val="40"/>
        </w:rPr>
      </w:pPr>
      <w:r w:rsidRPr="00F81B51">
        <w:rPr>
          <w:sz w:val="40"/>
          <w:szCs w:val="40"/>
        </w:rPr>
        <w:t>West Virginia Department of Environmental Protection</w:t>
      </w:r>
    </w:p>
    <w:p w:rsidR="00F81B51" w:rsidRPr="00F81B51" w:rsidRDefault="00F81B51" w:rsidP="00F81B51">
      <w:pPr>
        <w:pStyle w:val="NoSpacing"/>
        <w:jc w:val="center"/>
        <w:rPr>
          <w:sz w:val="40"/>
          <w:szCs w:val="40"/>
        </w:rPr>
      </w:pPr>
      <w:r w:rsidRPr="00F81B51">
        <w:rPr>
          <w:sz w:val="40"/>
          <w:szCs w:val="40"/>
        </w:rPr>
        <w:t>Division of Water and Waste Management</w:t>
      </w:r>
    </w:p>
    <w:p w:rsidR="00F81B51" w:rsidRPr="00F81B51" w:rsidRDefault="00F81B51" w:rsidP="00F81B51">
      <w:pPr>
        <w:pStyle w:val="NoSpacing"/>
        <w:jc w:val="center"/>
        <w:rPr>
          <w:sz w:val="32"/>
          <w:szCs w:val="32"/>
        </w:rPr>
      </w:pPr>
      <w:r w:rsidRPr="00F81B51">
        <w:rPr>
          <w:sz w:val="32"/>
          <w:szCs w:val="32"/>
        </w:rPr>
        <w:t>Comparison of Analytical Techniques</w:t>
      </w:r>
    </w:p>
    <w:p w:rsidR="00F81B51" w:rsidRPr="00F81B51" w:rsidRDefault="00F81B51" w:rsidP="00F81B51">
      <w:pPr>
        <w:pStyle w:val="NoSpacing"/>
        <w:jc w:val="center"/>
        <w:rPr>
          <w:sz w:val="32"/>
          <w:szCs w:val="32"/>
        </w:rPr>
      </w:pPr>
      <w:r w:rsidRPr="00F81B51">
        <w:rPr>
          <w:sz w:val="32"/>
          <w:szCs w:val="32"/>
        </w:rPr>
        <w:t>for the Determination of Selenium (Se)</w:t>
      </w:r>
    </w:p>
    <w:p w:rsidR="00F81B51" w:rsidRDefault="00F81B51" w:rsidP="00F81B51">
      <w:pPr>
        <w:pStyle w:val="NoSpacing"/>
      </w:pPr>
    </w:p>
    <w:p w:rsidR="00F81B51" w:rsidRPr="00F81B51" w:rsidRDefault="00F81B51" w:rsidP="00F81B51">
      <w:pPr>
        <w:pStyle w:val="NoSpacing"/>
        <w:jc w:val="center"/>
        <w:rPr>
          <w:sz w:val="28"/>
          <w:szCs w:val="28"/>
        </w:rPr>
      </w:pPr>
      <w:r w:rsidRPr="00F81B51">
        <w:rPr>
          <w:sz w:val="28"/>
          <w:szCs w:val="28"/>
        </w:rPr>
        <w:t>2010</w:t>
      </w:r>
    </w:p>
    <w:p w:rsidR="00F81B51" w:rsidRDefault="00F81B51" w:rsidP="00F81B51">
      <w:pPr>
        <w:pStyle w:val="NoSpacing"/>
      </w:pPr>
    </w:p>
    <w:p w:rsidR="00F81B51" w:rsidRDefault="00F81B51" w:rsidP="00F81B51">
      <w:pPr>
        <w:pStyle w:val="NoSpacing"/>
      </w:pPr>
    </w:p>
    <w:p w:rsidR="00F81B51" w:rsidRDefault="00F81B51" w:rsidP="00F81B51">
      <w:pPr>
        <w:pStyle w:val="NoSpacing"/>
      </w:pPr>
    </w:p>
    <w:p w:rsidR="00F81B51" w:rsidRDefault="00F81B51" w:rsidP="00F81B51">
      <w:pPr>
        <w:pStyle w:val="NoSpacing"/>
      </w:pPr>
    </w:p>
    <w:p w:rsidR="00F81B51" w:rsidRDefault="00F81B51" w:rsidP="00F81B51">
      <w:pPr>
        <w:pStyle w:val="NoSpacing"/>
      </w:pPr>
    </w:p>
    <w:p w:rsidR="00F81B51" w:rsidRDefault="00F81B51" w:rsidP="00F81B51">
      <w:pPr>
        <w:pStyle w:val="NoSpacing"/>
      </w:pPr>
    </w:p>
    <w:p w:rsidR="00F81B51" w:rsidRDefault="00F81B51" w:rsidP="00F81B51">
      <w:pPr>
        <w:pStyle w:val="NoSpacing"/>
      </w:pPr>
      <w:r>
        <w:t xml:space="preserve">          </w:t>
      </w:r>
      <w:r>
        <w:rPr>
          <w:noProof/>
        </w:rPr>
        <w:drawing>
          <wp:inline distT="0" distB="0" distL="0" distR="0">
            <wp:extent cx="2171700" cy="1613609"/>
            <wp:effectExtent l="19050" t="0" r="0" b="0"/>
            <wp:docPr id="17" name="Picture 3" descr="C:\Documents and Settings\A008291\Desktop\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008291\Desktop\1000.jpg"/>
                    <pic:cNvPicPr>
                      <a:picLocks noChangeAspect="1" noChangeArrowheads="1"/>
                    </pic:cNvPicPr>
                  </pic:nvPicPr>
                  <pic:blipFill>
                    <a:blip r:embed="rId7" cstate="print"/>
                    <a:srcRect/>
                    <a:stretch>
                      <a:fillRect/>
                    </a:stretch>
                  </pic:blipFill>
                  <pic:spPr bwMode="auto">
                    <a:xfrm>
                      <a:off x="0" y="0"/>
                      <a:ext cx="2171700" cy="1613609"/>
                    </a:xfrm>
                    <a:prstGeom prst="rect">
                      <a:avLst/>
                    </a:prstGeom>
                    <a:noFill/>
                    <a:ln w="9525">
                      <a:noFill/>
                      <a:miter lim="800000"/>
                      <a:headEnd/>
                      <a:tailEnd/>
                    </a:ln>
                  </pic:spPr>
                </pic:pic>
              </a:graphicData>
            </a:graphic>
          </wp:inline>
        </w:drawing>
      </w:r>
    </w:p>
    <w:p w:rsidR="00F81B51" w:rsidRPr="00F81B51" w:rsidRDefault="00F81B51" w:rsidP="00F81B51">
      <w:pPr>
        <w:pStyle w:val="NoSpacing"/>
      </w:pPr>
      <w:r>
        <w:t xml:space="preserve">             Atomic Absor</w:t>
      </w:r>
      <w:r w:rsidR="00C15879">
        <w:t>p</w:t>
      </w:r>
      <w:r>
        <w:t>tion</w:t>
      </w:r>
    </w:p>
    <w:p w:rsidR="00F81B51" w:rsidRDefault="00F81B51" w:rsidP="00690392">
      <w:pPr>
        <w:pStyle w:val="NoSpacing"/>
      </w:pPr>
      <w:r>
        <w:t xml:space="preserve">   </w:t>
      </w:r>
      <w:r>
        <w:rPr>
          <w:noProof/>
        </w:rPr>
        <w:drawing>
          <wp:inline distT="0" distB="0" distL="0" distR="0">
            <wp:extent cx="3144960" cy="1552575"/>
            <wp:effectExtent l="19050" t="0" r="0" b="0"/>
            <wp:docPr id="16" name="Picture 1" descr="C:\Documents and Settings\A008291\Desktop\1-ICPp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008291\Desktop\1-ICPpic3.jpg"/>
                    <pic:cNvPicPr>
                      <a:picLocks noChangeAspect="1" noChangeArrowheads="1"/>
                    </pic:cNvPicPr>
                  </pic:nvPicPr>
                  <pic:blipFill>
                    <a:blip r:embed="rId8" cstate="print"/>
                    <a:srcRect/>
                    <a:stretch>
                      <a:fillRect/>
                    </a:stretch>
                  </pic:blipFill>
                  <pic:spPr bwMode="auto">
                    <a:xfrm>
                      <a:off x="0" y="0"/>
                      <a:ext cx="3144960" cy="1552575"/>
                    </a:xfrm>
                    <a:prstGeom prst="rect">
                      <a:avLst/>
                    </a:prstGeom>
                    <a:noFill/>
                    <a:ln w="9525">
                      <a:noFill/>
                      <a:miter lim="800000"/>
                      <a:headEnd/>
                      <a:tailEnd/>
                    </a:ln>
                  </pic:spPr>
                </pic:pic>
              </a:graphicData>
            </a:graphic>
          </wp:inline>
        </w:drawing>
      </w:r>
      <w:r>
        <w:rPr>
          <w:noProof/>
        </w:rPr>
        <w:drawing>
          <wp:inline distT="0" distB="0" distL="0" distR="0">
            <wp:extent cx="2428875" cy="2547078"/>
            <wp:effectExtent l="19050" t="0" r="9525" b="0"/>
            <wp:docPr id="10" name="Picture 2" descr="C:\Documents and Settings\A008291\Desktop\%7B7bf14a2e-3e13-438d-aceb-82d7a03b1e42%7D_ELAN_DRC_II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008291\Desktop\%7B7bf14a2e-3e13-438d-aceb-82d7a03b1e42%7D_ELAN_DRC_II_v2.jpg"/>
                    <pic:cNvPicPr>
                      <a:picLocks noChangeAspect="1" noChangeArrowheads="1"/>
                    </pic:cNvPicPr>
                  </pic:nvPicPr>
                  <pic:blipFill>
                    <a:blip r:embed="rId9" cstate="print"/>
                    <a:srcRect/>
                    <a:stretch>
                      <a:fillRect/>
                    </a:stretch>
                  </pic:blipFill>
                  <pic:spPr bwMode="auto">
                    <a:xfrm>
                      <a:off x="0" y="0"/>
                      <a:ext cx="2433322" cy="2551741"/>
                    </a:xfrm>
                    <a:prstGeom prst="rect">
                      <a:avLst/>
                    </a:prstGeom>
                    <a:noFill/>
                    <a:ln w="9525">
                      <a:noFill/>
                      <a:miter lim="800000"/>
                      <a:headEnd/>
                      <a:tailEnd/>
                    </a:ln>
                  </pic:spPr>
                </pic:pic>
              </a:graphicData>
            </a:graphic>
          </wp:inline>
        </w:drawing>
      </w:r>
      <w:r>
        <w:t xml:space="preserve">    </w:t>
      </w:r>
    </w:p>
    <w:p w:rsidR="00F81B51" w:rsidRDefault="00F81B51" w:rsidP="00690392">
      <w:pPr>
        <w:pStyle w:val="NoSpacing"/>
      </w:pPr>
      <w:r>
        <w:t xml:space="preserve">         Inductively Coupled Argon Plasma (ICP)</w:t>
      </w:r>
      <w:r>
        <w:tab/>
      </w:r>
      <w:r>
        <w:tab/>
        <w:t xml:space="preserve">ICP Mass Spectrometer (ICP-MS)  </w:t>
      </w:r>
      <w:r>
        <w:br/>
      </w:r>
    </w:p>
    <w:p w:rsidR="00F81B51" w:rsidRDefault="00F81B51" w:rsidP="00690392">
      <w:pPr>
        <w:pStyle w:val="NoSpacing"/>
      </w:pPr>
    </w:p>
    <w:p w:rsidR="00F81B51" w:rsidRDefault="00F81B51" w:rsidP="00F81B51">
      <w:pPr>
        <w:pStyle w:val="NoSpacing"/>
        <w:jc w:val="center"/>
      </w:pPr>
      <w:r>
        <w:t>WV Department of Environmental Protection</w:t>
      </w:r>
    </w:p>
    <w:p w:rsidR="00F81B51" w:rsidRDefault="00F81B51" w:rsidP="00F81B51">
      <w:pPr>
        <w:pStyle w:val="NoSpacing"/>
        <w:jc w:val="center"/>
      </w:pPr>
      <w:r>
        <w:t>Division of Water and Waste Management</w:t>
      </w:r>
    </w:p>
    <w:p w:rsidR="00F81B51" w:rsidRDefault="00F81B51" w:rsidP="00F81B51">
      <w:pPr>
        <w:pStyle w:val="NoSpacing"/>
        <w:jc w:val="center"/>
      </w:pPr>
      <w:r>
        <w:t>601 57</w:t>
      </w:r>
      <w:r w:rsidRPr="00F81B51">
        <w:rPr>
          <w:vertAlign w:val="superscript"/>
        </w:rPr>
        <w:t>th</w:t>
      </w:r>
      <w:r>
        <w:t xml:space="preserve"> Street SE</w:t>
      </w:r>
    </w:p>
    <w:p w:rsidR="00F81B51" w:rsidRDefault="00F81B51" w:rsidP="00F81B51">
      <w:pPr>
        <w:pStyle w:val="NoSpacing"/>
        <w:jc w:val="center"/>
      </w:pPr>
      <w:r>
        <w:t>Charleston, WV  25304-2345</w:t>
      </w:r>
    </w:p>
    <w:p w:rsidR="00F81B51" w:rsidRDefault="00F81B51" w:rsidP="00F81B51">
      <w:pPr>
        <w:pStyle w:val="NoSpacing"/>
        <w:jc w:val="center"/>
      </w:pPr>
      <w:r>
        <w:t xml:space="preserve">304-926-0495                                                               </w:t>
      </w:r>
      <w:r w:rsidR="00690392">
        <w:br w:type="page"/>
      </w:r>
    </w:p>
    <w:p w:rsidR="00D902B6" w:rsidRDefault="00AF7A5F">
      <w:r>
        <w:lastRenderedPageBreak/>
        <w:t xml:space="preserve">Selenium </w:t>
      </w:r>
      <w:r w:rsidR="002A1D97">
        <w:t xml:space="preserve">analytical </w:t>
      </w:r>
      <w:r>
        <w:t>study conducted by WV DEP between April 2008 and June 2009.</w:t>
      </w:r>
    </w:p>
    <w:p w:rsidR="00AF7A5F" w:rsidRDefault="00AF7A5F"/>
    <w:p w:rsidR="00AF7A5F" w:rsidRPr="00113586" w:rsidRDefault="00AF7A5F" w:rsidP="00113586">
      <w:pPr>
        <w:rPr>
          <w:b/>
          <w:sz w:val="32"/>
          <w:szCs w:val="32"/>
        </w:rPr>
      </w:pPr>
      <w:r w:rsidRPr="00113586">
        <w:rPr>
          <w:b/>
          <w:sz w:val="32"/>
          <w:szCs w:val="32"/>
        </w:rPr>
        <w:t>Introduction</w:t>
      </w:r>
    </w:p>
    <w:p w:rsidR="00045C96" w:rsidRDefault="002A1D97" w:rsidP="00113586">
      <w:pPr>
        <w:pStyle w:val="NoSpacing"/>
        <w:spacing w:line="276" w:lineRule="auto"/>
      </w:pPr>
      <w:r>
        <w:t>In recent years many more facilities with NPDES permits have received effluent limits and monitoring requirements for Selenium.  Members of the</w:t>
      </w:r>
      <w:r w:rsidR="00AF7A5F">
        <w:t xml:space="preserve"> regulated community </w:t>
      </w:r>
      <w:r>
        <w:t xml:space="preserve">have since </w:t>
      </w:r>
      <w:r w:rsidR="00AF7A5F">
        <w:t xml:space="preserve">voiced their concerns about the ability of the environmental laboratory community to produce accurate data at the levels required.  Currently, the WQS for Se is </w:t>
      </w:r>
      <w:r w:rsidR="00045C96">
        <w:t xml:space="preserve">5 </w:t>
      </w:r>
      <w:r w:rsidR="00045C96">
        <w:rPr>
          <w:rFonts w:cs="Times New Roman"/>
        </w:rPr>
        <w:t>µ</w:t>
      </w:r>
      <w:r w:rsidR="00045C96">
        <w:t>g/L (47CSR2, Table 1).  5</w:t>
      </w:r>
      <w:r w:rsidR="00045C96">
        <w:rPr>
          <w:rFonts w:cs="Times New Roman"/>
        </w:rPr>
        <w:t>µ</w:t>
      </w:r>
      <w:r w:rsidR="00045C96">
        <w:t xml:space="preserve">g/L is very near the Method Detection Limit (MDL) for most analytical methods approved at 40CFR136.  In an effort to determine whether laboratories reporting Se data to WV DEP could accurately detect Se concentrations in the range of 5 </w:t>
      </w:r>
      <w:r w:rsidR="00045C96">
        <w:rPr>
          <w:rFonts w:cs="Times New Roman"/>
        </w:rPr>
        <w:t>µ</w:t>
      </w:r>
      <w:r w:rsidR="00045C96">
        <w:t>g/L</w:t>
      </w:r>
      <w:r w:rsidR="001E6D98">
        <w:t>,</w:t>
      </w:r>
      <w:r w:rsidR="00045C96">
        <w:t xml:space="preserve"> </w:t>
      </w:r>
      <w:r w:rsidR="007407E5">
        <w:t>this</w:t>
      </w:r>
      <w:r w:rsidR="00045C96">
        <w:t xml:space="preserve"> study was initiated.</w:t>
      </w:r>
    </w:p>
    <w:p w:rsidR="00045C96" w:rsidRDefault="00045C96" w:rsidP="00113586">
      <w:pPr>
        <w:pStyle w:val="NoSpacing"/>
        <w:spacing w:line="276" w:lineRule="auto"/>
      </w:pPr>
    </w:p>
    <w:p w:rsidR="00917902" w:rsidRDefault="001E6D98" w:rsidP="00113586">
      <w:pPr>
        <w:spacing w:after="0" w:line="276" w:lineRule="auto"/>
      </w:pPr>
      <w:r>
        <w:t xml:space="preserve">West Virginia Department of Environmental Protection (WVDEP) personnel had received </w:t>
      </w:r>
      <w:r w:rsidRPr="00491AE4">
        <w:t>anecdotal</w:t>
      </w:r>
      <w:r>
        <w:t xml:space="preserve"> evidence indicating a low bias for Se when </w:t>
      </w:r>
      <w:r w:rsidR="00917902">
        <w:t>Graphite Furnace Atomic Absorption (</w:t>
      </w:r>
      <w:r>
        <w:t>GFAA</w:t>
      </w:r>
      <w:r w:rsidR="00917902">
        <w:t>)</w:t>
      </w:r>
      <w:r>
        <w:t xml:space="preserve"> was used for analysis.  Personnel had also received anecdotal evidence indicating a high bias for Se when </w:t>
      </w:r>
      <w:r w:rsidR="00917902">
        <w:t>Inductively Coupled Plasma/Mass Spectroscopy (</w:t>
      </w:r>
      <w:r>
        <w:t>ICP/MS</w:t>
      </w:r>
      <w:r w:rsidR="00917902">
        <w:t>)</w:t>
      </w:r>
      <w:r>
        <w:t xml:space="preserve"> was used for analysis.  </w:t>
      </w:r>
      <w:r w:rsidR="00917902">
        <w:t>All samples collected for metals analysis for compliance purposes are sampled and preserved in accordance with 40CFR136 Table II.  They are then digested (heated to between 85 – 95° C in the presence of mineral acids) according to the method to be used to detect the metal.  40CFR136 lists the following for the analysis of Selenium</w:t>
      </w:r>
      <w:r w:rsidR="00B41DB8">
        <w:t>:</w:t>
      </w:r>
    </w:p>
    <w:tbl>
      <w:tblPr>
        <w:tblW w:w="5000" w:type="pct"/>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370"/>
        <w:gridCol w:w="2042"/>
        <w:gridCol w:w="915"/>
        <w:gridCol w:w="637"/>
        <w:gridCol w:w="730"/>
        <w:gridCol w:w="773"/>
        <w:gridCol w:w="959"/>
        <w:gridCol w:w="2022"/>
      </w:tblGrid>
      <w:tr w:rsidR="00B41DB8" w:rsidRPr="00917902" w:rsidTr="002A1D97">
        <w:trPr>
          <w:tblCellSpacing w:w="7" w:type="dxa"/>
        </w:trPr>
        <w:tc>
          <w:tcPr>
            <w:tcW w:w="713" w:type="pct"/>
            <w:tcBorders>
              <w:top w:val="outset" w:sz="6" w:space="0" w:color="auto"/>
              <w:left w:val="outset" w:sz="6" w:space="0" w:color="auto"/>
              <w:bottom w:val="outset" w:sz="6" w:space="0" w:color="auto"/>
              <w:right w:val="outset" w:sz="6" w:space="0" w:color="auto"/>
            </w:tcBorders>
            <w:vAlign w:val="center"/>
            <w:hideMark/>
          </w:tcPr>
          <w:p w:rsidR="00917902" w:rsidRPr="00917902" w:rsidRDefault="00917902" w:rsidP="00917902">
            <w:pPr>
              <w:spacing w:after="0"/>
              <w:contextualSpacing w:val="0"/>
              <w:rPr>
                <w:rFonts w:eastAsia="Times New Roman" w:cs="Times New Roman"/>
                <w:szCs w:val="24"/>
              </w:rPr>
            </w:pPr>
            <w:r w:rsidRPr="00917902">
              <w:rPr>
                <w:rFonts w:eastAsia="Times New Roman" w:cs="Times New Roman"/>
                <w:szCs w:val="24"/>
              </w:rPr>
              <w:t>60. Selenium—Total,</w:t>
            </w:r>
            <w:r w:rsidRPr="00917902">
              <w:rPr>
                <w:rFonts w:eastAsia="Times New Roman" w:cs="Times New Roman"/>
                <w:szCs w:val="24"/>
                <w:vertAlign w:val="superscript"/>
              </w:rPr>
              <w:t>4</w:t>
            </w:r>
            <w:r w:rsidRPr="00917902">
              <w:rPr>
                <w:rFonts w:eastAsia="Times New Roman" w:cs="Times New Roman"/>
                <w:szCs w:val="24"/>
              </w:rPr>
              <w:t>mg/L</w:t>
            </w:r>
          </w:p>
        </w:tc>
        <w:tc>
          <w:tcPr>
            <w:tcW w:w="1074" w:type="pct"/>
            <w:tcBorders>
              <w:top w:val="outset" w:sz="6" w:space="0" w:color="auto"/>
              <w:left w:val="outset" w:sz="6" w:space="0" w:color="auto"/>
              <w:bottom w:val="outset" w:sz="6" w:space="0" w:color="auto"/>
              <w:right w:val="outset" w:sz="6" w:space="0" w:color="auto"/>
            </w:tcBorders>
            <w:vAlign w:val="center"/>
            <w:hideMark/>
          </w:tcPr>
          <w:p w:rsidR="00917902" w:rsidRPr="00917902" w:rsidRDefault="00917902" w:rsidP="00917902">
            <w:pPr>
              <w:spacing w:after="0"/>
              <w:contextualSpacing w:val="0"/>
              <w:rPr>
                <w:rFonts w:eastAsia="Times New Roman" w:cs="Times New Roman"/>
                <w:szCs w:val="24"/>
              </w:rPr>
            </w:pPr>
            <w:r w:rsidRPr="00917902">
              <w:rPr>
                <w:rFonts w:eastAsia="Times New Roman" w:cs="Times New Roman"/>
                <w:szCs w:val="24"/>
              </w:rPr>
              <w:t>Digestion</w:t>
            </w:r>
            <w:r w:rsidRPr="00917902">
              <w:rPr>
                <w:rFonts w:eastAsia="Times New Roman" w:cs="Times New Roman"/>
                <w:szCs w:val="24"/>
                <w:vertAlign w:val="superscript"/>
              </w:rPr>
              <w:t>4</w:t>
            </w:r>
            <w:r w:rsidRPr="00917902">
              <w:rPr>
                <w:rFonts w:eastAsia="Times New Roman" w:cs="Times New Roman"/>
                <w:szCs w:val="24"/>
              </w:rPr>
              <w:t>followed by:</w:t>
            </w:r>
          </w:p>
        </w:tc>
        <w:tc>
          <w:tcPr>
            <w:tcW w:w="477" w:type="pct"/>
            <w:tcBorders>
              <w:top w:val="outset" w:sz="6" w:space="0" w:color="auto"/>
              <w:left w:val="outset" w:sz="6" w:space="0" w:color="auto"/>
              <w:bottom w:val="outset" w:sz="6" w:space="0" w:color="auto"/>
              <w:right w:val="outset" w:sz="6" w:space="0" w:color="auto"/>
            </w:tcBorders>
            <w:vAlign w:val="center"/>
            <w:hideMark/>
          </w:tcPr>
          <w:p w:rsidR="00917902" w:rsidRPr="00917902" w:rsidRDefault="00B41DB8" w:rsidP="00B41DB8">
            <w:pPr>
              <w:spacing w:after="0"/>
              <w:contextualSpacing w:val="0"/>
              <w:jc w:val="center"/>
              <w:rPr>
                <w:rFonts w:eastAsia="Times New Roman" w:cs="Times New Roman"/>
                <w:szCs w:val="24"/>
              </w:rPr>
            </w:pPr>
            <w:r>
              <w:rPr>
                <w:rFonts w:eastAsia="Times New Roman" w:cs="Times New Roman"/>
                <w:szCs w:val="24"/>
              </w:rPr>
              <w:t>EPA</w:t>
            </w:r>
          </w:p>
        </w:tc>
        <w:tc>
          <w:tcPr>
            <w:tcW w:w="330" w:type="pct"/>
            <w:tcBorders>
              <w:top w:val="outset" w:sz="6" w:space="0" w:color="auto"/>
              <w:left w:val="outset" w:sz="6" w:space="0" w:color="auto"/>
              <w:bottom w:val="outset" w:sz="6" w:space="0" w:color="auto"/>
              <w:right w:val="outset" w:sz="6" w:space="0" w:color="auto"/>
            </w:tcBorders>
            <w:vAlign w:val="center"/>
            <w:hideMark/>
          </w:tcPr>
          <w:p w:rsidR="00917902" w:rsidRPr="00917902" w:rsidRDefault="00B41DB8" w:rsidP="00917902">
            <w:pPr>
              <w:spacing w:after="0"/>
              <w:contextualSpacing w:val="0"/>
              <w:rPr>
                <w:rFonts w:eastAsia="Times New Roman" w:cs="Times New Roman"/>
                <w:szCs w:val="24"/>
              </w:rPr>
            </w:pPr>
            <w:r>
              <w:rPr>
                <w:rFonts w:eastAsia="Times New Roman" w:cs="Times New Roman"/>
                <w:szCs w:val="24"/>
              </w:rPr>
              <w:t>SM 18</w:t>
            </w:r>
            <w:r w:rsidRPr="00B41DB8">
              <w:rPr>
                <w:rFonts w:eastAsia="Times New Roman" w:cs="Times New Roman"/>
                <w:szCs w:val="24"/>
                <w:vertAlign w:val="superscript"/>
              </w:rPr>
              <w:t>th</w:t>
            </w:r>
            <w:r>
              <w:rPr>
                <w:rFonts w:eastAsia="Times New Roman" w:cs="Times New Roman"/>
                <w:szCs w:val="24"/>
              </w:rPr>
              <w:t xml:space="preserve"> &amp; 19</w:t>
            </w:r>
            <w:r w:rsidRPr="00B41DB8">
              <w:rPr>
                <w:rFonts w:eastAsia="Times New Roman" w:cs="Times New Roman"/>
                <w:szCs w:val="24"/>
                <w:vertAlign w:val="superscript"/>
              </w:rPr>
              <w:t>th</w:t>
            </w:r>
            <w:r>
              <w:rPr>
                <w:rFonts w:eastAsia="Times New Roman" w:cs="Times New Roman"/>
                <w:szCs w:val="24"/>
              </w:rPr>
              <w:t xml:space="preserve"> </w:t>
            </w:r>
          </w:p>
        </w:tc>
        <w:tc>
          <w:tcPr>
            <w:tcW w:w="379" w:type="pct"/>
            <w:tcBorders>
              <w:top w:val="outset" w:sz="6" w:space="0" w:color="auto"/>
              <w:left w:val="outset" w:sz="6" w:space="0" w:color="auto"/>
              <w:bottom w:val="outset" w:sz="6" w:space="0" w:color="auto"/>
              <w:right w:val="outset" w:sz="6" w:space="0" w:color="auto"/>
            </w:tcBorders>
            <w:vAlign w:val="center"/>
            <w:hideMark/>
          </w:tcPr>
          <w:p w:rsidR="00917902" w:rsidRPr="00917902" w:rsidRDefault="00B41DB8" w:rsidP="00917902">
            <w:pPr>
              <w:spacing w:after="0"/>
              <w:contextualSpacing w:val="0"/>
              <w:rPr>
                <w:rFonts w:eastAsia="Times New Roman" w:cs="Times New Roman"/>
                <w:szCs w:val="24"/>
              </w:rPr>
            </w:pPr>
            <w:r>
              <w:rPr>
                <w:rFonts w:eastAsia="Times New Roman" w:cs="Times New Roman"/>
                <w:szCs w:val="24"/>
              </w:rPr>
              <w:t>SM 20</w:t>
            </w:r>
            <w:r w:rsidRPr="00B41DB8">
              <w:rPr>
                <w:rFonts w:eastAsia="Times New Roman" w:cs="Times New Roman"/>
                <w:szCs w:val="24"/>
                <w:vertAlign w:val="superscript"/>
              </w:rPr>
              <w:t>th</w:t>
            </w:r>
          </w:p>
        </w:tc>
        <w:tc>
          <w:tcPr>
            <w:tcW w:w="402" w:type="pct"/>
            <w:tcBorders>
              <w:top w:val="outset" w:sz="6" w:space="0" w:color="auto"/>
              <w:left w:val="outset" w:sz="6" w:space="0" w:color="auto"/>
              <w:bottom w:val="outset" w:sz="6" w:space="0" w:color="auto"/>
              <w:right w:val="outset" w:sz="6" w:space="0" w:color="auto"/>
            </w:tcBorders>
            <w:vAlign w:val="center"/>
            <w:hideMark/>
          </w:tcPr>
          <w:p w:rsidR="00917902" w:rsidRPr="00917902" w:rsidRDefault="00B41DB8" w:rsidP="00917902">
            <w:pPr>
              <w:spacing w:after="0"/>
              <w:contextualSpacing w:val="0"/>
              <w:rPr>
                <w:rFonts w:eastAsia="Times New Roman" w:cs="Times New Roman"/>
                <w:szCs w:val="24"/>
              </w:rPr>
            </w:pPr>
            <w:r>
              <w:rPr>
                <w:rFonts w:eastAsia="Times New Roman" w:cs="Times New Roman"/>
                <w:szCs w:val="24"/>
              </w:rPr>
              <w:t>SM online</w:t>
            </w:r>
          </w:p>
        </w:tc>
        <w:tc>
          <w:tcPr>
            <w:tcW w:w="500" w:type="pct"/>
            <w:tcBorders>
              <w:top w:val="outset" w:sz="6" w:space="0" w:color="auto"/>
              <w:left w:val="outset" w:sz="6" w:space="0" w:color="auto"/>
              <w:bottom w:val="outset" w:sz="6" w:space="0" w:color="auto"/>
              <w:right w:val="outset" w:sz="6" w:space="0" w:color="auto"/>
            </w:tcBorders>
            <w:vAlign w:val="center"/>
            <w:hideMark/>
          </w:tcPr>
          <w:p w:rsidR="00917902" w:rsidRPr="00917902" w:rsidRDefault="00B41DB8" w:rsidP="00917902">
            <w:pPr>
              <w:spacing w:after="0"/>
              <w:contextualSpacing w:val="0"/>
              <w:rPr>
                <w:rFonts w:eastAsia="Times New Roman" w:cs="Times New Roman"/>
                <w:szCs w:val="24"/>
              </w:rPr>
            </w:pPr>
            <w:r>
              <w:rPr>
                <w:rFonts w:eastAsia="Times New Roman" w:cs="Times New Roman"/>
                <w:szCs w:val="24"/>
              </w:rPr>
              <w:t>ASTM</w:t>
            </w:r>
          </w:p>
        </w:tc>
        <w:tc>
          <w:tcPr>
            <w:tcW w:w="1059" w:type="pct"/>
            <w:tcBorders>
              <w:top w:val="outset" w:sz="6" w:space="0" w:color="auto"/>
              <w:left w:val="outset" w:sz="6" w:space="0" w:color="auto"/>
              <w:bottom w:val="outset" w:sz="6" w:space="0" w:color="auto"/>
              <w:right w:val="outset" w:sz="6" w:space="0" w:color="auto"/>
            </w:tcBorders>
            <w:vAlign w:val="center"/>
            <w:hideMark/>
          </w:tcPr>
          <w:p w:rsidR="00917902" w:rsidRPr="00B41DB8" w:rsidRDefault="00B41DB8" w:rsidP="00917902">
            <w:pPr>
              <w:spacing w:after="0"/>
              <w:contextualSpacing w:val="0"/>
              <w:rPr>
                <w:rFonts w:eastAsia="Times New Roman" w:cs="Times New Roman"/>
                <w:szCs w:val="24"/>
              </w:rPr>
            </w:pPr>
            <w:r w:rsidRPr="00B41DB8">
              <w:rPr>
                <w:rFonts w:eastAsia="Times New Roman" w:cs="Times New Roman"/>
                <w:bCs/>
                <w:szCs w:val="24"/>
              </w:rPr>
              <w:t>USGS/AOAC/other</w:t>
            </w:r>
          </w:p>
        </w:tc>
      </w:tr>
      <w:tr w:rsidR="00B41DB8" w:rsidRPr="00917902" w:rsidTr="002A1D97">
        <w:trPr>
          <w:tblCellSpacing w:w="7" w:type="dxa"/>
        </w:trPr>
        <w:tc>
          <w:tcPr>
            <w:tcW w:w="713" w:type="pct"/>
            <w:tcBorders>
              <w:top w:val="outset" w:sz="6" w:space="0" w:color="auto"/>
              <w:left w:val="outset" w:sz="6" w:space="0" w:color="auto"/>
              <w:bottom w:val="outset" w:sz="6" w:space="0" w:color="auto"/>
              <w:right w:val="outset" w:sz="6" w:space="0" w:color="auto"/>
            </w:tcBorders>
            <w:vAlign w:val="center"/>
            <w:hideMark/>
          </w:tcPr>
          <w:p w:rsidR="00917902" w:rsidRPr="00917902" w:rsidRDefault="00917902" w:rsidP="00917902">
            <w:pPr>
              <w:spacing w:after="0"/>
              <w:contextualSpacing w:val="0"/>
              <w:rPr>
                <w:rFonts w:eastAsia="Times New Roman" w:cs="Times New Roman"/>
                <w:szCs w:val="24"/>
              </w:rPr>
            </w:pPr>
            <w:r w:rsidRPr="00917902">
              <w:rPr>
                <w:rFonts w:eastAsia="Times New Roman" w:cs="Times New Roman"/>
                <w:szCs w:val="24"/>
              </w:rPr>
              <w:t>  </w:t>
            </w:r>
          </w:p>
        </w:tc>
        <w:tc>
          <w:tcPr>
            <w:tcW w:w="1074" w:type="pct"/>
            <w:tcBorders>
              <w:top w:val="outset" w:sz="6" w:space="0" w:color="auto"/>
              <w:left w:val="outset" w:sz="6" w:space="0" w:color="auto"/>
              <w:bottom w:val="outset" w:sz="6" w:space="0" w:color="auto"/>
              <w:right w:val="outset" w:sz="6" w:space="0" w:color="auto"/>
            </w:tcBorders>
            <w:vAlign w:val="center"/>
            <w:hideMark/>
          </w:tcPr>
          <w:p w:rsidR="00917902" w:rsidRPr="00917902" w:rsidRDefault="00917902" w:rsidP="00917902">
            <w:pPr>
              <w:spacing w:after="0"/>
              <w:contextualSpacing w:val="0"/>
              <w:rPr>
                <w:rFonts w:eastAsia="Times New Roman" w:cs="Times New Roman"/>
                <w:szCs w:val="24"/>
              </w:rPr>
            </w:pPr>
            <w:r w:rsidRPr="00917902">
              <w:rPr>
                <w:rFonts w:eastAsia="Times New Roman" w:cs="Times New Roman"/>
                <w:szCs w:val="24"/>
              </w:rPr>
              <w:t>AA furnace</w:t>
            </w:r>
          </w:p>
        </w:tc>
        <w:tc>
          <w:tcPr>
            <w:tcW w:w="477" w:type="pct"/>
            <w:tcBorders>
              <w:top w:val="outset" w:sz="6" w:space="0" w:color="auto"/>
              <w:left w:val="outset" w:sz="6" w:space="0" w:color="auto"/>
              <w:bottom w:val="outset" w:sz="6" w:space="0" w:color="auto"/>
              <w:right w:val="outset" w:sz="6" w:space="0" w:color="auto"/>
            </w:tcBorders>
            <w:vAlign w:val="center"/>
            <w:hideMark/>
          </w:tcPr>
          <w:p w:rsidR="00917902" w:rsidRPr="00917902" w:rsidRDefault="00917902" w:rsidP="00917902">
            <w:pPr>
              <w:spacing w:after="0"/>
              <w:contextualSpacing w:val="0"/>
              <w:rPr>
                <w:rFonts w:eastAsia="Times New Roman" w:cs="Times New Roman"/>
                <w:szCs w:val="24"/>
              </w:rPr>
            </w:pPr>
          </w:p>
        </w:tc>
        <w:tc>
          <w:tcPr>
            <w:tcW w:w="330" w:type="pct"/>
            <w:tcBorders>
              <w:top w:val="outset" w:sz="6" w:space="0" w:color="auto"/>
              <w:left w:val="outset" w:sz="6" w:space="0" w:color="auto"/>
              <w:bottom w:val="outset" w:sz="6" w:space="0" w:color="auto"/>
              <w:right w:val="outset" w:sz="6" w:space="0" w:color="auto"/>
            </w:tcBorders>
            <w:vAlign w:val="center"/>
            <w:hideMark/>
          </w:tcPr>
          <w:p w:rsidR="00917902" w:rsidRPr="00917902" w:rsidRDefault="00917902" w:rsidP="00917902">
            <w:pPr>
              <w:spacing w:after="0"/>
              <w:contextualSpacing w:val="0"/>
              <w:rPr>
                <w:rFonts w:eastAsia="Times New Roman" w:cs="Times New Roman"/>
                <w:szCs w:val="24"/>
              </w:rPr>
            </w:pPr>
            <w:r w:rsidRPr="00917902">
              <w:rPr>
                <w:rFonts w:eastAsia="Times New Roman" w:cs="Times New Roman"/>
                <w:szCs w:val="24"/>
              </w:rPr>
              <w:t>3113 B</w:t>
            </w:r>
          </w:p>
        </w:tc>
        <w:tc>
          <w:tcPr>
            <w:tcW w:w="379" w:type="pct"/>
            <w:tcBorders>
              <w:top w:val="outset" w:sz="6" w:space="0" w:color="auto"/>
              <w:left w:val="outset" w:sz="6" w:space="0" w:color="auto"/>
              <w:bottom w:val="outset" w:sz="6" w:space="0" w:color="auto"/>
              <w:right w:val="outset" w:sz="6" w:space="0" w:color="auto"/>
            </w:tcBorders>
            <w:vAlign w:val="center"/>
            <w:hideMark/>
          </w:tcPr>
          <w:p w:rsidR="00917902" w:rsidRPr="00917902" w:rsidRDefault="00917902" w:rsidP="00917902">
            <w:pPr>
              <w:spacing w:after="0"/>
              <w:contextualSpacing w:val="0"/>
              <w:rPr>
                <w:rFonts w:eastAsia="Times New Roman" w:cs="Times New Roman"/>
                <w:szCs w:val="24"/>
              </w:rPr>
            </w:pPr>
          </w:p>
        </w:tc>
        <w:tc>
          <w:tcPr>
            <w:tcW w:w="402" w:type="pct"/>
            <w:tcBorders>
              <w:top w:val="outset" w:sz="6" w:space="0" w:color="auto"/>
              <w:left w:val="outset" w:sz="6" w:space="0" w:color="auto"/>
              <w:bottom w:val="outset" w:sz="6" w:space="0" w:color="auto"/>
              <w:right w:val="outset" w:sz="6" w:space="0" w:color="auto"/>
            </w:tcBorders>
            <w:vAlign w:val="center"/>
            <w:hideMark/>
          </w:tcPr>
          <w:p w:rsidR="00917902" w:rsidRPr="00917902" w:rsidRDefault="00917902" w:rsidP="00917902">
            <w:pPr>
              <w:spacing w:after="0"/>
              <w:contextualSpacing w:val="0"/>
              <w:rPr>
                <w:rFonts w:eastAsia="Times New Roman" w:cs="Times New Roman"/>
                <w:szCs w:val="24"/>
              </w:rPr>
            </w:pPr>
            <w:r w:rsidRPr="00917902">
              <w:rPr>
                <w:rFonts w:eastAsia="Times New Roman" w:cs="Times New Roman"/>
                <w:szCs w:val="24"/>
              </w:rPr>
              <w:t>3113 B–99</w:t>
            </w:r>
          </w:p>
        </w:tc>
        <w:tc>
          <w:tcPr>
            <w:tcW w:w="500" w:type="pct"/>
            <w:tcBorders>
              <w:top w:val="outset" w:sz="6" w:space="0" w:color="auto"/>
              <w:left w:val="outset" w:sz="6" w:space="0" w:color="auto"/>
              <w:bottom w:val="outset" w:sz="6" w:space="0" w:color="auto"/>
              <w:right w:val="outset" w:sz="6" w:space="0" w:color="auto"/>
            </w:tcBorders>
            <w:vAlign w:val="center"/>
            <w:hideMark/>
          </w:tcPr>
          <w:p w:rsidR="00917902" w:rsidRPr="00917902" w:rsidRDefault="00917902" w:rsidP="00917902">
            <w:pPr>
              <w:spacing w:after="0"/>
              <w:contextualSpacing w:val="0"/>
              <w:rPr>
                <w:rFonts w:eastAsia="Times New Roman" w:cs="Times New Roman"/>
                <w:szCs w:val="24"/>
              </w:rPr>
            </w:pPr>
            <w:r w:rsidRPr="00917902">
              <w:rPr>
                <w:rFonts w:eastAsia="Times New Roman" w:cs="Times New Roman"/>
                <w:szCs w:val="24"/>
              </w:rPr>
              <w:t>D3859–98, 03 (B)</w:t>
            </w:r>
          </w:p>
        </w:tc>
        <w:tc>
          <w:tcPr>
            <w:tcW w:w="1059" w:type="pct"/>
            <w:tcBorders>
              <w:top w:val="outset" w:sz="6" w:space="0" w:color="auto"/>
              <w:left w:val="outset" w:sz="6" w:space="0" w:color="auto"/>
              <w:bottom w:val="outset" w:sz="6" w:space="0" w:color="auto"/>
              <w:right w:val="outset" w:sz="6" w:space="0" w:color="auto"/>
            </w:tcBorders>
            <w:vAlign w:val="center"/>
            <w:hideMark/>
          </w:tcPr>
          <w:p w:rsidR="00917902" w:rsidRPr="00917902" w:rsidRDefault="00917902" w:rsidP="00917902">
            <w:pPr>
              <w:spacing w:after="0"/>
              <w:contextualSpacing w:val="0"/>
              <w:rPr>
                <w:rFonts w:eastAsia="Times New Roman" w:cs="Times New Roman"/>
                <w:szCs w:val="24"/>
              </w:rPr>
            </w:pPr>
            <w:r w:rsidRPr="00917902">
              <w:rPr>
                <w:rFonts w:eastAsia="Times New Roman" w:cs="Times New Roman"/>
                <w:szCs w:val="24"/>
              </w:rPr>
              <w:t>I–4668–98</w:t>
            </w:r>
            <w:r w:rsidRPr="00917902">
              <w:rPr>
                <w:rFonts w:eastAsia="Times New Roman" w:cs="Times New Roman"/>
                <w:szCs w:val="24"/>
                <w:vertAlign w:val="superscript"/>
              </w:rPr>
              <w:t>49</w:t>
            </w:r>
          </w:p>
        </w:tc>
      </w:tr>
      <w:tr w:rsidR="00B41DB8" w:rsidRPr="00917902" w:rsidTr="002A1D97">
        <w:trPr>
          <w:tblCellSpacing w:w="7" w:type="dxa"/>
        </w:trPr>
        <w:tc>
          <w:tcPr>
            <w:tcW w:w="713" w:type="pct"/>
            <w:tcBorders>
              <w:top w:val="outset" w:sz="6" w:space="0" w:color="auto"/>
              <w:left w:val="outset" w:sz="6" w:space="0" w:color="auto"/>
              <w:bottom w:val="outset" w:sz="6" w:space="0" w:color="auto"/>
              <w:right w:val="outset" w:sz="6" w:space="0" w:color="auto"/>
            </w:tcBorders>
            <w:vAlign w:val="center"/>
            <w:hideMark/>
          </w:tcPr>
          <w:p w:rsidR="00917902" w:rsidRPr="00917902" w:rsidRDefault="00917902" w:rsidP="00917902">
            <w:pPr>
              <w:spacing w:after="0"/>
              <w:contextualSpacing w:val="0"/>
              <w:rPr>
                <w:rFonts w:eastAsia="Times New Roman" w:cs="Times New Roman"/>
                <w:szCs w:val="24"/>
              </w:rPr>
            </w:pPr>
            <w:r w:rsidRPr="00917902">
              <w:rPr>
                <w:rFonts w:eastAsia="Times New Roman" w:cs="Times New Roman"/>
                <w:szCs w:val="24"/>
              </w:rPr>
              <w:t>  </w:t>
            </w:r>
          </w:p>
        </w:tc>
        <w:tc>
          <w:tcPr>
            <w:tcW w:w="1074" w:type="pct"/>
            <w:tcBorders>
              <w:top w:val="outset" w:sz="6" w:space="0" w:color="auto"/>
              <w:left w:val="outset" w:sz="6" w:space="0" w:color="auto"/>
              <w:bottom w:val="outset" w:sz="6" w:space="0" w:color="auto"/>
              <w:right w:val="outset" w:sz="6" w:space="0" w:color="auto"/>
            </w:tcBorders>
            <w:vAlign w:val="center"/>
            <w:hideMark/>
          </w:tcPr>
          <w:p w:rsidR="00917902" w:rsidRPr="00917902" w:rsidRDefault="00917902" w:rsidP="00917902">
            <w:pPr>
              <w:spacing w:after="0"/>
              <w:contextualSpacing w:val="0"/>
              <w:rPr>
                <w:rFonts w:eastAsia="Times New Roman" w:cs="Times New Roman"/>
                <w:szCs w:val="24"/>
              </w:rPr>
            </w:pPr>
            <w:r w:rsidRPr="00917902">
              <w:rPr>
                <w:rFonts w:eastAsia="Times New Roman" w:cs="Times New Roman"/>
                <w:szCs w:val="24"/>
              </w:rPr>
              <w:t>STGFAA</w:t>
            </w:r>
          </w:p>
        </w:tc>
        <w:tc>
          <w:tcPr>
            <w:tcW w:w="477" w:type="pct"/>
            <w:tcBorders>
              <w:top w:val="outset" w:sz="6" w:space="0" w:color="auto"/>
              <w:left w:val="outset" w:sz="6" w:space="0" w:color="auto"/>
              <w:bottom w:val="outset" w:sz="6" w:space="0" w:color="auto"/>
              <w:right w:val="outset" w:sz="6" w:space="0" w:color="auto"/>
            </w:tcBorders>
            <w:vAlign w:val="center"/>
            <w:hideMark/>
          </w:tcPr>
          <w:p w:rsidR="00917902" w:rsidRPr="00917902" w:rsidRDefault="00917902" w:rsidP="00917902">
            <w:pPr>
              <w:spacing w:after="0"/>
              <w:contextualSpacing w:val="0"/>
              <w:rPr>
                <w:rFonts w:eastAsia="Times New Roman" w:cs="Times New Roman"/>
                <w:szCs w:val="24"/>
              </w:rPr>
            </w:pPr>
            <w:r w:rsidRPr="00917902">
              <w:rPr>
                <w:rFonts w:eastAsia="Times New Roman" w:cs="Times New Roman"/>
                <w:szCs w:val="24"/>
              </w:rPr>
              <w:t>200.9, Rev. 2.2 (1994)</w:t>
            </w:r>
          </w:p>
        </w:tc>
        <w:tc>
          <w:tcPr>
            <w:tcW w:w="330" w:type="pct"/>
            <w:tcBorders>
              <w:top w:val="outset" w:sz="6" w:space="0" w:color="auto"/>
              <w:left w:val="outset" w:sz="6" w:space="0" w:color="auto"/>
              <w:bottom w:val="outset" w:sz="6" w:space="0" w:color="auto"/>
              <w:right w:val="outset" w:sz="6" w:space="0" w:color="auto"/>
            </w:tcBorders>
            <w:vAlign w:val="center"/>
            <w:hideMark/>
          </w:tcPr>
          <w:p w:rsidR="00917902" w:rsidRPr="00917902" w:rsidRDefault="00917902" w:rsidP="00917902">
            <w:pPr>
              <w:spacing w:after="0"/>
              <w:contextualSpacing w:val="0"/>
              <w:rPr>
                <w:rFonts w:eastAsia="Times New Roman" w:cs="Times New Roman"/>
                <w:szCs w:val="24"/>
              </w:rPr>
            </w:pPr>
          </w:p>
        </w:tc>
        <w:tc>
          <w:tcPr>
            <w:tcW w:w="379" w:type="pct"/>
            <w:tcBorders>
              <w:top w:val="outset" w:sz="6" w:space="0" w:color="auto"/>
              <w:left w:val="outset" w:sz="6" w:space="0" w:color="auto"/>
              <w:bottom w:val="outset" w:sz="6" w:space="0" w:color="auto"/>
              <w:right w:val="outset" w:sz="6" w:space="0" w:color="auto"/>
            </w:tcBorders>
            <w:vAlign w:val="center"/>
            <w:hideMark/>
          </w:tcPr>
          <w:p w:rsidR="00917902" w:rsidRPr="00917902" w:rsidRDefault="00917902" w:rsidP="00917902">
            <w:pPr>
              <w:spacing w:after="0"/>
              <w:contextualSpacing w:val="0"/>
              <w:rPr>
                <w:rFonts w:eastAsia="Times New Roman" w:cs="Times New Roman"/>
                <w:szCs w:val="24"/>
              </w:rPr>
            </w:pPr>
          </w:p>
        </w:tc>
        <w:tc>
          <w:tcPr>
            <w:tcW w:w="402" w:type="pct"/>
            <w:tcBorders>
              <w:top w:val="outset" w:sz="6" w:space="0" w:color="auto"/>
              <w:left w:val="outset" w:sz="6" w:space="0" w:color="auto"/>
              <w:bottom w:val="outset" w:sz="6" w:space="0" w:color="auto"/>
              <w:right w:val="outset" w:sz="6" w:space="0" w:color="auto"/>
            </w:tcBorders>
            <w:vAlign w:val="center"/>
            <w:hideMark/>
          </w:tcPr>
          <w:p w:rsidR="00917902" w:rsidRPr="00917902" w:rsidRDefault="00917902" w:rsidP="00917902">
            <w:pPr>
              <w:spacing w:after="0"/>
              <w:contextualSpacing w:val="0"/>
              <w:rPr>
                <w:rFonts w:eastAsia="Times New Roman" w:cs="Times New Roman"/>
                <w:szCs w:val="24"/>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917902" w:rsidRPr="00917902" w:rsidRDefault="00917902" w:rsidP="00917902">
            <w:pPr>
              <w:spacing w:after="0"/>
              <w:contextualSpacing w:val="0"/>
              <w:rPr>
                <w:rFonts w:eastAsia="Times New Roman" w:cs="Times New Roman"/>
                <w:szCs w:val="24"/>
              </w:rPr>
            </w:pPr>
          </w:p>
        </w:tc>
        <w:tc>
          <w:tcPr>
            <w:tcW w:w="1059" w:type="pct"/>
            <w:tcBorders>
              <w:top w:val="outset" w:sz="6" w:space="0" w:color="auto"/>
              <w:left w:val="outset" w:sz="6" w:space="0" w:color="auto"/>
              <w:bottom w:val="outset" w:sz="6" w:space="0" w:color="auto"/>
              <w:right w:val="outset" w:sz="6" w:space="0" w:color="auto"/>
            </w:tcBorders>
            <w:vAlign w:val="center"/>
            <w:hideMark/>
          </w:tcPr>
          <w:p w:rsidR="00917902" w:rsidRPr="00917902" w:rsidRDefault="00917902" w:rsidP="00917902">
            <w:pPr>
              <w:spacing w:after="0"/>
              <w:contextualSpacing w:val="0"/>
              <w:rPr>
                <w:rFonts w:eastAsia="Times New Roman" w:cs="Times New Roman"/>
                <w:szCs w:val="24"/>
              </w:rPr>
            </w:pPr>
          </w:p>
        </w:tc>
      </w:tr>
      <w:tr w:rsidR="00B41DB8" w:rsidRPr="00917902" w:rsidTr="002A1D97">
        <w:trPr>
          <w:tblCellSpacing w:w="7" w:type="dxa"/>
        </w:trPr>
        <w:tc>
          <w:tcPr>
            <w:tcW w:w="713" w:type="pct"/>
            <w:tcBorders>
              <w:top w:val="outset" w:sz="6" w:space="0" w:color="auto"/>
              <w:left w:val="outset" w:sz="6" w:space="0" w:color="auto"/>
              <w:bottom w:val="outset" w:sz="6" w:space="0" w:color="auto"/>
              <w:right w:val="outset" w:sz="6" w:space="0" w:color="auto"/>
            </w:tcBorders>
            <w:vAlign w:val="center"/>
            <w:hideMark/>
          </w:tcPr>
          <w:p w:rsidR="00917902" w:rsidRPr="00917902" w:rsidRDefault="00917902" w:rsidP="00917902">
            <w:pPr>
              <w:spacing w:after="0"/>
              <w:contextualSpacing w:val="0"/>
              <w:rPr>
                <w:rFonts w:eastAsia="Times New Roman" w:cs="Times New Roman"/>
                <w:szCs w:val="24"/>
              </w:rPr>
            </w:pPr>
            <w:r w:rsidRPr="00917902">
              <w:rPr>
                <w:rFonts w:eastAsia="Times New Roman" w:cs="Times New Roman"/>
                <w:szCs w:val="24"/>
              </w:rPr>
              <w:t>  </w:t>
            </w:r>
          </w:p>
        </w:tc>
        <w:tc>
          <w:tcPr>
            <w:tcW w:w="1074" w:type="pct"/>
            <w:tcBorders>
              <w:top w:val="outset" w:sz="6" w:space="0" w:color="auto"/>
              <w:left w:val="outset" w:sz="6" w:space="0" w:color="auto"/>
              <w:bottom w:val="outset" w:sz="6" w:space="0" w:color="auto"/>
              <w:right w:val="outset" w:sz="6" w:space="0" w:color="auto"/>
            </w:tcBorders>
            <w:vAlign w:val="center"/>
            <w:hideMark/>
          </w:tcPr>
          <w:p w:rsidR="00917902" w:rsidRPr="00917902" w:rsidRDefault="00917902" w:rsidP="00917902">
            <w:pPr>
              <w:spacing w:after="0"/>
              <w:contextualSpacing w:val="0"/>
              <w:rPr>
                <w:rFonts w:eastAsia="Times New Roman" w:cs="Times New Roman"/>
                <w:szCs w:val="24"/>
              </w:rPr>
            </w:pPr>
            <w:r w:rsidRPr="00917902">
              <w:rPr>
                <w:rFonts w:eastAsia="Times New Roman" w:cs="Times New Roman"/>
                <w:szCs w:val="24"/>
              </w:rPr>
              <w:t>ICP/AES</w:t>
            </w:r>
            <w:r w:rsidRPr="00917902">
              <w:rPr>
                <w:rFonts w:eastAsia="Times New Roman" w:cs="Times New Roman"/>
                <w:szCs w:val="24"/>
                <w:vertAlign w:val="superscript"/>
              </w:rPr>
              <w:t>36</w:t>
            </w:r>
          </w:p>
        </w:tc>
        <w:tc>
          <w:tcPr>
            <w:tcW w:w="477" w:type="pct"/>
            <w:tcBorders>
              <w:top w:val="outset" w:sz="6" w:space="0" w:color="auto"/>
              <w:left w:val="outset" w:sz="6" w:space="0" w:color="auto"/>
              <w:bottom w:val="outset" w:sz="6" w:space="0" w:color="auto"/>
              <w:right w:val="outset" w:sz="6" w:space="0" w:color="auto"/>
            </w:tcBorders>
            <w:vAlign w:val="center"/>
            <w:hideMark/>
          </w:tcPr>
          <w:p w:rsidR="00917902" w:rsidRPr="00917902" w:rsidRDefault="00917902" w:rsidP="00917902">
            <w:pPr>
              <w:spacing w:after="0"/>
              <w:contextualSpacing w:val="0"/>
              <w:rPr>
                <w:rFonts w:eastAsia="Times New Roman" w:cs="Times New Roman"/>
                <w:szCs w:val="24"/>
              </w:rPr>
            </w:pPr>
            <w:r w:rsidRPr="00917902">
              <w:rPr>
                <w:rFonts w:eastAsia="Times New Roman" w:cs="Times New Roman"/>
                <w:szCs w:val="24"/>
              </w:rPr>
              <w:t>200.7, Rev. 4.4 (1994)</w:t>
            </w:r>
          </w:p>
        </w:tc>
        <w:tc>
          <w:tcPr>
            <w:tcW w:w="330" w:type="pct"/>
            <w:tcBorders>
              <w:top w:val="outset" w:sz="6" w:space="0" w:color="auto"/>
              <w:left w:val="outset" w:sz="6" w:space="0" w:color="auto"/>
              <w:bottom w:val="outset" w:sz="6" w:space="0" w:color="auto"/>
              <w:right w:val="outset" w:sz="6" w:space="0" w:color="auto"/>
            </w:tcBorders>
            <w:vAlign w:val="center"/>
            <w:hideMark/>
          </w:tcPr>
          <w:p w:rsidR="00917902" w:rsidRPr="00917902" w:rsidRDefault="00917902" w:rsidP="00917902">
            <w:pPr>
              <w:spacing w:after="0"/>
              <w:contextualSpacing w:val="0"/>
              <w:rPr>
                <w:rFonts w:eastAsia="Times New Roman" w:cs="Times New Roman"/>
                <w:szCs w:val="24"/>
              </w:rPr>
            </w:pPr>
            <w:r w:rsidRPr="00917902">
              <w:rPr>
                <w:rFonts w:eastAsia="Times New Roman" w:cs="Times New Roman"/>
                <w:szCs w:val="24"/>
              </w:rPr>
              <w:t>3120 B</w:t>
            </w:r>
          </w:p>
        </w:tc>
        <w:tc>
          <w:tcPr>
            <w:tcW w:w="379" w:type="pct"/>
            <w:tcBorders>
              <w:top w:val="outset" w:sz="6" w:space="0" w:color="auto"/>
              <w:left w:val="outset" w:sz="6" w:space="0" w:color="auto"/>
              <w:bottom w:val="outset" w:sz="6" w:space="0" w:color="auto"/>
              <w:right w:val="outset" w:sz="6" w:space="0" w:color="auto"/>
            </w:tcBorders>
            <w:vAlign w:val="center"/>
            <w:hideMark/>
          </w:tcPr>
          <w:p w:rsidR="00917902" w:rsidRPr="00917902" w:rsidRDefault="00917902" w:rsidP="00917902">
            <w:pPr>
              <w:spacing w:after="0"/>
              <w:contextualSpacing w:val="0"/>
              <w:rPr>
                <w:rFonts w:eastAsia="Times New Roman" w:cs="Times New Roman"/>
                <w:szCs w:val="24"/>
              </w:rPr>
            </w:pPr>
            <w:r w:rsidRPr="00917902">
              <w:rPr>
                <w:rFonts w:eastAsia="Times New Roman" w:cs="Times New Roman"/>
                <w:szCs w:val="24"/>
              </w:rPr>
              <w:t>3120 B</w:t>
            </w:r>
          </w:p>
        </w:tc>
        <w:tc>
          <w:tcPr>
            <w:tcW w:w="402" w:type="pct"/>
            <w:tcBorders>
              <w:top w:val="outset" w:sz="6" w:space="0" w:color="auto"/>
              <w:left w:val="outset" w:sz="6" w:space="0" w:color="auto"/>
              <w:bottom w:val="outset" w:sz="6" w:space="0" w:color="auto"/>
              <w:right w:val="outset" w:sz="6" w:space="0" w:color="auto"/>
            </w:tcBorders>
            <w:vAlign w:val="center"/>
            <w:hideMark/>
          </w:tcPr>
          <w:p w:rsidR="00917902" w:rsidRPr="00917902" w:rsidRDefault="00917902" w:rsidP="00917902">
            <w:pPr>
              <w:spacing w:after="0"/>
              <w:contextualSpacing w:val="0"/>
              <w:rPr>
                <w:rFonts w:eastAsia="Times New Roman" w:cs="Times New Roman"/>
                <w:szCs w:val="24"/>
              </w:rPr>
            </w:pPr>
            <w:r w:rsidRPr="00917902">
              <w:rPr>
                <w:rFonts w:eastAsia="Times New Roman" w:cs="Times New Roman"/>
                <w:szCs w:val="24"/>
              </w:rPr>
              <w:t>3120 B–99</w:t>
            </w:r>
          </w:p>
        </w:tc>
        <w:tc>
          <w:tcPr>
            <w:tcW w:w="500" w:type="pct"/>
            <w:tcBorders>
              <w:top w:val="outset" w:sz="6" w:space="0" w:color="auto"/>
              <w:left w:val="outset" w:sz="6" w:space="0" w:color="auto"/>
              <w:bottom w:val="outset" w:sz="6" w:space="0" w:color="auto"/>
              <w:right w:val="outset" w:sz="6" w:space="0" w:color="auto"/>
            </w:tcBorders>
            <w:vAlign w:val="center"/>
            <w:hideMark/>
          </w:tcPr>
          <w:p w:rsidR="00917902" w:rsidRPr="00917902" w:rsidRDefault="00917902" w:rsidP="00917902">
            <w:pPr>
              <w:spacing w:after="0"/>
              <w:contextualSpacing w:val="0"/>
              <w:rPr>
                <w:rFonts w:eastAsia="Times New Roman" w:cs="Times New Roman"/>
                <w:szCs w:val="24"/>
              </w:rPr>
            </w:pPr>
          </w:p>
        </w:tc>
        <w:tc>
          <w:tcPr>
            <w:tcW w:w="1059" w:type="pct"/>
            <w:tcBorders>
              <w:top w:val="outset" w:sz="6" w:space="0" w:color="auto"/>
              <w:left w:val="outset" w:sz="6" w:space="0" w:color="auto"/>
              <w:bottom w:val="outset" w:sz="6" w:space="0" w:color="auto"/>
              <w:right w:val="outset" w:sz="6" w:space="0" w:color="auto"/>
            </w:tcBorders>
            <w:vAlign w:val="center"/>
            <w:hideMark/>
          </w:tcPr>
          <w:p w:rsidR="00917902" w:rsidRPr="00917902" w:rsidRDefault="00917902" w:rsidP="00917902">
            <w:pPr>
              <w:spacing w:after="0"/>
              <w:contextualSpacing w:val="0"/>
              <w:rPr>
                <w:rFonts w:eastAsia="Times New Roman" w:cs="Times New Roman"/>
                <w:szCs w:val="24"/>
              </w:rPr>
            </w:pPr>
          </w:p>
        </w:tc>
      </w:tr>
      <w:tr w:rsidR="00B41DB8" w:rsidRPr="00917902" w:rsidTr="002A1D97">
        <w:trPr>
          <w:tblCellSpacing w:w="7" w:type="dxa"/>
        </w:trPr>
        <w:tc>
          <w:tcPr>
            <w:tcW w:w="713" w:type="pct"/>
            <w:tcBorders>
              <w:top w:val="outset" w:sz="6" w:space="0" w:color="auto"/>
              <w:left w:val="outset" w:sz="6" w:space="0" w:color="auto"/>
              <w:bottom w:val="outset" w:sz="6" w:space="0" w:color="auto"/>
              <w:right w:val="outset" w:sz="6" w:space="0" w:color="auto"/>
            </w:tcBorders>
            <w:vAlign w:val="center"/>
            <w:hideMark/>
          </w:tcPr>
          <w:p w:rsidR="00917902" w:rsidRPr="00917902" w:rsidRDefault="00917902" w:rsidP="00917902">
            <w:pPr>
              <w:spacing w:after="0"/>
              <w:contextualSpacing w:val="0"/>
              <w:rPr>
                <w:rFonts w:eastAsia="Times New Roman" w:cs="Times New Roman"/>
                <w:szCs w:val="24"/>
              </w:rPr>
            </w:pPr>
            <w:r w:rsidRPr="00917902">
              <w:rPr>
                <w:rFonts w:eastAsia="Times New Roman" w:cs="Times New Roman"/>
                <w:szCs w:val="24"/>
              </w:rPr>
              <w:t>  </w:t>
            </w:r>
          </w:p>
        </w:tc>
        <w:tc>
          <w:tcPr>
            <w:tcW w:w="1074" w:type="pct"/>
            <w:tcBorders>
              <w:top w:val="outset" w:sz="6" w:space="0" w:color="auto"/>
              <w:left w:val="outset" w:sz="6" w:space="0" w:color="auto"/>
              <w:bottom w:val="outset" w:sz="6" w:space="0" w:color="auto"/>
              <w:right w:val="outset" w:sz="6" w:space="0" w:color="auto"/>
            </w:tcBorders>
            <w:vAlign w:val="center"/>
            <w:hideMark/>
          </w:tcPr>
          <w:p w:rsidR="00917902" w:rsidRPr="00917902" w:rsidRDefault="00917902" w:rsidP="00917902">
            <w:pPr>
              <w:spacing w:after="0"/>
              <w:contextualSpacing w:val="0"/>
              <w:rPr>
                <w:rFonts w:eastAsia="Times New Roman" w:cs="Times New Roman"/>
                <w:szCs w:val="24"/>
              </w:rPr>
            </w:pPr>
            <w:r w:rsidRPr="00917902">
              <w:rPr>
                <w:rFonts w:eastAsia="Times New Roman" w:cs="Times New Roman"/>
                <w:szCs w:val="24"/>
              </w:rPr>
              <w:t>ICP/MS</w:t>
            </w:r>
          </w:p>
        </w:tc>
        <w:tc>
          <w:tcPr>
            <w:tcW w:w="477" w:type="pct"/>
            <w:tcBorders>
              <w:top w:val="outset" w:sz="6" w:space="0" w:color="auto"/>
              <w:left w:val="outset" w:sz="6" w:space="0" w:color="auto"/>
              <w:bottom w:val="outset" w:sz="6" w:space="0" w:color="auto"/>
              <w:right w:val="outset" w:sz="6" w:space="0" w:color="auto"/>
            </w:tcBorders>
            <w:vAlign w:val="center"/>
            <w:hideMark/>
          </w:tcPr>
          <w:p w:rsidR="00917902" w:rsidRPr="00917902" w:rsidRDefault="00917902" w:rsidP="00917902">
            <w:pPr>
              <w:spacing w:after="0"/>
              <w:contextualSpacing w:val="0"/>
              <w:rPr>
                <w:rFonts w:eastAsia="Times New Roman" w:cs="Times New Roman"/>
                <w:szCs w:val="24"/>
              </w:rPr>
            </w:pPr>
            <w:r w:rsidRPr="00917902">
              <w:rPr>
                <w:rFonts w:eastAsia="Times New Roman" w:cs="Times New Roman"/>
                <w:szCs w:val="24"/>
              </w:rPr>
              <w:t>200.8, Rev. 5.4 (1994)</w:t>
            </w:r>
          </w:p>
        </w:tc>
        <w:tc>
          <w:tcPr>
            <w:tcW w:w="330" w:type="pct"/>
            <w:tcBorders>
              <w:top w:val="outset" w:sz="6" w:space="0" w:color="auto"/>
              <w:left w:val="outset" w:sz="6" w:space="0" w:color="auto"/>
              <w:bottom w:val="outset" w:sz="6" w:space="0" w:color="auto"/>
              <w:right w:val="outset" w:sz="6" w:space="0" w:color="auto"/>
            </w:tcBorders>
            <w:vAlign w:val="center"/>
            <w:hideMark/>
          </w:tcPr>
          <w:p w:rsidR="00917902" w:rsidRPr="00917902" w:rsidRDefault="00917902" w:rsidP="00917902">
            <w:pPr>
              <w:spacing w:after="0"/>
              <w:contextualSpacing w:val="0"/>
              <w:rPr>
                <w:rFonts w:eastAsia="Times New Roman" w:cs="Times New Roman"/>
                <w:szCs w:val="24"/>
              </w:rPr>
            </w:pPr>
          </w:p>
        </w:tc>
        <w:tc>
          <w:tcPr>
            <w:tcW w:w="379" w:type="pct"/>
            <w:tcBorders>
              <w:top w:val="outset" w:sz="6" w:space="0" w:color="auto"/>
              <w:left w:val="outset" w:sz="6" w:space="0" w:color="auto"/>
              <w:bottom w:val="outset" w:sz="6" w:space="0" w:color="auto"/>
              <w:right w:val="outset" w:sz="6" w:space="0" w:color="auto"/>
            </w:tcBorders>
            <w:vAlign w:val="center"/>
            <w:hideMark/>
          </w:tcPr>
          <w:p w:rsidR="00917902" w:rsidRPr="00917902" w:rsidRDefault="00917902" w:rsidP="00917902">
            <w:pPr>
              <w:spacing w:after="0"/>
              <w:contextualSpacing w:val="0"/>
              <w:rPr>
                <w:rFonts w:eastAsia="Times New Roman" w:cs="Times New Roman"/>
                <w:szCs w:val="24"/>
              </w:rPr>
            </w:pPr>
          </w:p>
        </w:tc>
        <w:tc>
          <w:tcPr>
            <w:tcW w:w="402" w:type="pct"/>
            <w:tcBorders>
              <w:top w:val="outset" w:sz="6" w:space="0" w:color="auto"/>
              <w:left w:val="outset" w:sz="6" w:space="0" w:color="auto"/>
              <w:bottom w:val="outset" w:sz="6" w:space="0" w:color="auto"/>
              <w:right w:val="outset" w:sz="6" w:space="0" w:color="auto"/>
            </w:tcBorders>
            <w:vAlign w:val="center"/>
            <w:hideMark/>
          </w:tcPr>
          <w:p w:rsidR="00917902" w:rsidRPr="00917902" w:rsidRDefault="00917902" w:rsidP="00917902">
            <w:pPr>
              <w:spacing w:after="0"/>
              <w:contextualSpacing w:val="0"/>
              <w:rPr>
                <w:rFonts w:eastAsia="Times New Roman" w:cs="Times New Roman"/>
                <w:szCs w:val="24"/>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917902" w:rsidRPr="00917902" w:rsidRDefault="00917902" w:rsidP="00917902">
            <w:pPr>
              <w:spacing w:after="0"/>
              <w:contextualSpacing w:val="0"/>
              <w:rPr>
                <w:rFonts w:eastAsia="Times New Roman" w:cs="Times New Roman"/>
                <w:szCs w:val="24"/>
              </w:rPr>
            </w:pPr>
            <w:r w:rsidRPr="00917902">
              <w:rPr>
                <w:rFonts w:eastAsia="Times New Roman" w:cs="Times New Roman"/>
                <w:szCs w:val="24"/>
              </w:rPr>
              <w:t>D5673–03</w:t>
            </w:r>
          </w:p>
        </w:tc>
        <w:tc>
          <w:tcPr>
            <w:tcW w:w="1059" w:type="pct"/>
            <w:tcBorders>
              <w:top w:val="outset" w:sz="6" w:space="0" w:color="auto"/>
              <w:left w:val="outset" w:sz="6" w:space="0" w:color="auto"/>
              <w:bottom w:val="outset" w:sz="6" w:space="0" w:color="auto"/>
              <w:right w:val="outset" w:sz="6" w:space="0" w:color="auto"/>
            </w:tcBorders>
            <w:vAlign w:val="center"/>
            <w:hideMark/>
          </w:tcPr>
          <w:p w:rsidR="00917902" w:rsidRPr="00917902" w:rsidRDefault="00917902" w:rsidP="00917902">
            <w:pPr>
              <w:spacing w:after="0"/>
              <w:contextualSpacing w:val="0"/>
              <w:rPr>
                <w:rFonts w:eastAsia="Times New Roman" w:cs="Times New Roman"/>
                <w:szCs w:val="24"/>
              </w:rPr>
            </w:pPr>
            <w:r w:rsidRPr="00917902">
              <w:rPr>
                <w:rFonts w:eastAsia="Times New Roman" w:cs="Times New Roman"/>
                <w:szCs w:val="24"/>
              </w:rPr>
              <w:t>993.14</w:t>
            </w:r>
            <w:r w:rsidRPr="00917902">
              <w:rPr>
                <w:rFonts w:eastAsia="Times New Roman" w:cs="Times New Roman"/>
                <w:szCs w:val="24"/>
                <w:vertAlign w:val="superscript"/>
              </w:rPr>
              <w:t>3</w:t>
            </w:r>
          </w:p>
        </w:tc>
      </w:tr>
      <w:tr w:rsidR="00B41DB8" w:rsidRPr="00917902" w:rsidTr="002A1D97">
        <w:trPr>
          <w:trHeight w:val="395"/>
          <w:tblCellSpacing w:w="7" w:type="dxa"/>
        </w:trPr>
        <w:tc>
          <w:tcPr>
            <w:tcW w:w="713" w:type="pct"/>
            <w:tcBorders>
              <w:top w:val="outset" w:sz="6" w:space="0" w:color="auto"/>
              <w:left w:val="outset" w:sz="6" w:space="0" w:color="auto"/>
              <w:bottom w:val="outset" w:sz="6" w:space="0" w:color="auto"/>
              <w:right w:val="outset" w:sz="6" w:space="0" w:color="auto"/>
            </w:tcBorders>
            <w:vAlign w:val="center"/>
            <w:hideMark/>
          </w:tcPr>
          <w:p w:rsidR="00917902" w:rsidRPr="00917902" w:rsidRDefault="00917902" w:rsidP="00917902">
            <w:pPr>
              <w:spacing w:after="0"/>
              <w:contextualSpacing w:val="0"/>
              <w:rPr>
                <w:rFonts w:eastAsia="Times New Roman" w:cs="Times New Roman"/>
                <w:szCs w:val="24"/>
              </w:rPr>
            </w:pPr>
            <w:r w:rsidRPr="00917902">
              <w:rPr>
                <w:rFonts w:eastAsia="Times New Roman" w:cs="Times New Roman"/>
                <w:szCs w:val="24"/>
              </w:rPr>
              <w:t>  </w:t>
            </w:r>
          </w:p>
        </w:tc>
        <w:tc>
          <w:tcPr>
            <w:tcW w:w="1074" w:type="pct"/>
            <w:tcBorders>
              <w:top w:val="outset" w:sz="6" w:space="0" w:color="auto"/>
              <w:left w:val="outset" w:sz="6" w:space="0" w:color="auto"/>
              <w:bottom w:val="outset" w:sz="6" w:space="0" w:color="auto"/>
              <w:right w:val="outset" w:sz="6" w:space="0" w:color="auto"/>
            </w:tcBorders>
            <w:vAlign w:val="center"/>
            <w:hideMark/>
          </w:tcPr>
          <w:p w:rsidR="00917902" w:rsidRPr="00917902" w:rsidRDefault="00917902" w:rsidP="00917902">
            <w:pPr>
              <w:spacing w:after="0"/>
              <w:contextualSpacing w:val="0"/>
              <w:rPr>
                <w:rFonts w:eastAsia="Times New Roman" w:cs="Times New Roman"/>
                <w:szCs w:val="24"/>
              </w:rPr>
            </w:pPr>
            <w:r w:rsidRPr="00917902">
              <w:rPr>
                <w:rFonts w:eastAsia="Times New Roman" w:cs="Times New Roman"/>
                <w:szCs w:val="24"/>
              </w:rPr>
              <w:t>AA gaseous hydride</w:t>
            </w:r>
          </w:p>
        </w:tc>
        <w:tc>
          <w:tcPr>
            <w:tcW w:w="477" w:type="pct"/>
            <w:tcBorders>
              <w:top w:val="outset" w:sz="6" w:space="0" w:color="auto"/>
              <w:left w:val="outset" w:sz="6" w:space="0" w:color="auto"/>
              <w:bottom w:val="outset" w:sz="6" w:space="0" w:color="auto"/>
              <w:right w:val="outset" w:sz="6" w:space="0" w:color="auto"/>
            </w:tcBorders>
            <w:vAlign w:val="center"/>
            <w:hideMark/>
          </w:tcPr>
          <w:p w:rsidR="00917902" w:rsidRPr="00917902" w:rsidRDefault="00917902" w:rsidP="00917902">
            <w:pPr>
              <w:spacing w:after="0"/>
              <w:contextualSpacing w:val="0"/>
              <w:rPr>
                <w:rFonts w:eastAsia="Times New Roman" w:cs="Times New Roman"/>
                <w:sz w:val="20"/>
                <w:szCs w:val="20"/>
              </w:rPr>
            </w:pPr>
          </w:p>
        </w:tc>
        <w:tc>
          <w:tcPr>
            <w:tcW w:w="330" w:type="pct"/>
            <w:tcBorders>
              <w:top w:val="outset" w:sz="6" w:space="0" w:color="auto"/>
              <w:left w:val="outset" w:sz="6" w:space="0" w:color="auto"/>
              <w:bottom w:val="outset" w:sz="6" w:space="0" w:color="auto"/>
              <w:right w:val="outset" w:sz="6" w:space="0" w:color="auto"/>
            </w:tcBorders>
            <w:vAlign w:val="center"/>
            <w:hideMark/>
          </w:tcPr>
          <w:p w:rsidR="00917902" w:rsidRPr="002A1D97" w:rsidRDefault="002A1D97" w:rsidP="002A1D97">
            <w:pPr>
              <w:spacing w:after="0"/>
              <w:contextualSpacing w:val="0"/>
              <w:rPr>
                <w:rFonts w:eastAsia="Times New Roman" w:cs="Times New Roman"/>
                <w:szCs w:val="24"/>
              </w:rPr>
            </w:pPr>
            <w:r w:rsidRPr="002A1D97">
              <w:rPr>
                <w:rFonts w:eastAsia="Times New Roman" w:cs="Times New Roman"/>
                <w:szCs w:val="24"/>
              </w:rPr>
              <w:t>3</w:t>
            </w:r>
            <w:r>
              <w:rPr>
                <w:rFonts w:eastAsia="Times New Roman" w:cs="Times New Roman"/>
                <w:szCs w:val="24"/>
              </w:rPr>
              <w:t>1</w:t>
            </w:r>
            <w:r w:rsidRPr="002A1D97">
              <w:rPr>
                <w:rFonts w:eastAsia="Times New Roman" w:cs="Times New Roman"/>
                <w:szCs w:val="24"/>
              </w:rPr>
              <w:t>14 B</w:t>
            </w:r>
          </w:p>
        </w:tc>
        <w:tc>
          <w:tcPr>
            <w:tcW w:w="379" w:type="pct"/>
            <w:tcBorders>
              <w:top w:val="outset" w:sz="6" w:space="0" w:color="auto"/>
              <w:left w:val="outset" w:sz="6" w:space="0" w:color="auto"/>
              <w:bottom w:val="outset" w:sz="6" w:space="0" w:color="auto"/>
              <w:right w:val="outset" w:sz="6" w:space="0" w:color="auto"/>
            </w:tcBorders>
            <w:vAlign w:val="center"/>
            <w:hideMark/>
          </w:tcPr>
          <w:p w:rsidR="00917902" w:rsidRPr="002A1D97" w:rsidRDefault="00917902" w:rsidP="00917902">
            <w:pPr>
              <w:spacing w:after="0"/>
              <w:contextualSpacing w:val="0"/>
              <w:rPr>
                <w:rFonts w:eastAsia="Times New Roman" w:cs="Times New Roman"/>
                <w:szCs w:val="24"/>
              </w:rPr>
            </w:pPr>
          </w:p>
        </w:tc>
        <w:tc>
          <w:tcPr>
            <w:tcW w:w="402" w:type="pct"/>
            <w:tcBorders>
              <w:top w:val="outset" w:sz="6" w:space="0" w:color="auto"/>
              <w:left w:val="outset" w:sz="6" w:space="0" w:color="auto"/>
              <w:bottom w:val="outset" w:sz="6" w:space="0" w:color="auto"/>
              <w:right w:val="outset" w:sz="6" w:space="0" w:color="auto"/>
            </w:tcBorders>
            <w:vAlign w:val="center"/>
            <w:hideMark/>
          </w:tcPr>
          <w:p w:rsidR="00917902" w:rsidRPr="00917902" w:rsidRDefault="002A1D97" w:rsidP="00917902">
            <w:pPr>
              <w:spacing w:after="0"/>
              <w:contextualSpacing w:val="0"/>
              <w:rPr>
                <w:rFonts w:eastAsia="Times New Roman" w:cs="Times New Roman"/>
                <w:sz w:val="20"/>
                <w:szCs w:val="20"/>
              </w:rPr>
            </w:pPr>
            <w:r>
              <w:rPr>
                <w:rFonts w:eastAsia="Times New Roman" w:cs="Times New Roman"/>
                <w:szCs w:val="24"/>
              </w:rPr>
              <w:t>3114 B-97</w:t>
            </w:r>
          </w:p>
        </w:tc>
        <w:tc>
          <w:tcPr>
            <w:tcW w:w="500" w:type="pct"/>
            <w:tcBorders>
              <w:top w:val="outset" w:sz="6" w:space="0" w:color="auto"/>
              <w:left w:val="outset" w:sz="6" w:space="0" w:color="auto"/>
              <w:bottom w:val="outset" w:sz="6" w:space="0" w:color="auto"/>
              <w:right w:val="outset" w:sz="6" w:space="0" w:color="auto"/>
            </w:tcBorders>
            <w:vAlign w:val="center"/>
            <w:hideMark/>
          </w:tcPr>
          <w:p w:rsidR="00917902" w:rsidRPr="002A1D97" w:rsidRDefault="002A1D97" w:rsidP="00917902">
            <w:pPr>
              <w:spacing w:after="0"/>
              <w:contextualSpacing w:val="0"/>
              <w:rPr>
                <w:rFonts w:eastAsia="Times New Roman" w:cs="Times New Roman"/>
                <w:szCs w:val="24"/>
              </w:rPr>
            </w:pPr>
            <w:r w:rsidRPr="002A1D97">
              <w:rPr>
                <w:rFonts w:eastAsia="Times New Roman" w:cs="Times New Roman"/>
                <w:szCs w:val="24"/>
              </w:rPr>
              <w:t xml:space="preserve">D3859-98, 03(A) </w:t>
            </w:r>
          </w:p>
        </w:tc>
        <w:tc>
          <w:tcPr>
            <w:tcW w:w="1059" w:type="pct"/>
            <w:tcBorders>
              <w:top w:val="outset" w:sz="6" w:space="0" w:color="auto"/>
              <w:left w:val="outset" w:sz="6" w:space="0" w:color="auto"/>
              <w:bottom w:val="outset" w:sz="6" w:space="0" w:color="auto"/>
            </w:tcBorders>
            <w:vAlign w:val="center"/>
            <w:hideMark/>
          </w:tcPr>
          <w:p w:rsidR="00917902" w:rsidRPr="002A1D97" w:rsidRDefault="002A1D97" w:rsidP="00917902">
            <w:pPr>
              <w:spacing w:after="0"/>
              <w:contextualSpacing w:val="0"/>
              <w:rPr>
                <w:rFonts w:eastAsia="Times New Roman" w:cs="Times New Roman"/>
                <w:szCs w:val="24"/>
              </w:rPr>
            </w:pPr>
            <w:r w:rsidRPr="002A1D97">
              <w:rPr>
                <w:rFonts w:eastAsia="Times New Roman" w:cs="Times New Roman"/>
                <w:szCs w:val="24"/>
              </w:rPr>
              <w:t>I-3667-85</w:t>
            </w:r>
          </w:p>
        </w:tc>
      </w:tr>
    </w:tbl>
    <w:p w:rsidR="00917902" w:rsidRDefault="00917902" w:rsidP="001E6D98"/>
    <w:p w:rsidR="00B424B7" w:rsidRDefault="00B424B7" w:rsidP="001E6D98"/>
    <w:p w:rsidR="00B41DB8" w:rsidRDefault="00B41DB8" w:rsidP="00113586">
      <w:pPr>
        <w:spacing w:line="276" w:lineRule="auto"/>
      </w:pPr>
      <w:r>
        <w:lastRenderedPageBreak/>
        <w:t xml:space="preserve">The ICP/AES method is not sensitive enough to reach the WQS.  The other approved methods can achieve the WQS with different challenges faced by each method.  </w:t>
      </w:r>
    </w:p>
    <w:p w:rsidR="00B424B7" w:rsidRDefault="00B424B7" w:rsidP="001E6D98"/>
    <w:p w:rsidR="00B424B7" w:rsidRDefault="00B424B7" w:rsidP="00B424B7">
      <w:pPr>
        <w:spacing w:after="0"/>
      </w:pPr>
      <w:r>
        <w:t xml:space="preserve">The acceptable recovery </w:t>
      </w:r>
      <w:r w:rsidR="00113586">
        <w:t xml:space="preserve">and precision </w:t>
      </w:r>
      <w:r>
        <w:t>limits for each of the approved methods are:</w:t>
      </w:r>
    </w:p>
    <w:p w:rsidR="00B424B7" w:rsidRPr="00B424B7" w:rsidRDefault="00B424B7" w:rsidP="00B424B7">
      <w:pPr>
        <w:pStyle w:val="NoSpacing"/>
      </w:pPr>
    </w:p>
    <w:p w:rsidR="00B424B7" w:rsidRDefault="00B424B7" w:rsidP="00B424B7">
      <w:pPr>
        <w:pStyle w:val="NoSpacing"/>
      </w:pPr>
      <w:r w:rsidRPr="00113586">
        <w:rPr>
          <w:u w:val="single"/>
        </w:rPr>
        <w:t>Method</w:t>
      </w:r>
      <w:r>
        <w:tab/>
      </w:r>
      <w:r>
        <w:tab/>
      </w:r>
      <w:r w:rsidRPr="00113586">
        <w:rPr>
          <w:u w:val="single"/>
        </w:rPr>
        <w:t>Acceptable % Recovery</w:t>
      </w:r>
      <w:r>
        <w:t xml:space="preserve">  </w:t>
      </w:r>
      <w:r>
        <w:tab/>
      </w:r>
      <w:r>
        <w:tab/>
      </w:r>
      <w:r w:rsidR="00F56C07">
        <w:tab/>
      </w:r>
      <w:r w:rsidRPr="00113586">
        <w:rPr>
          <w:u w:val="single"/>
        </w:rPr>
        <w:t>Precision</w:t>
      </w:r>
    </w:p>
    <w:p w:rsidR="00F56C07" w:rsidRDefault="00F56C07" w:rsidP="00B424B7">
      <w:pPr>
        <w:pStyle w:val="NoSpacing"/>
      </w:pPr>
    </w:p>
    <w:p w:rsidR="00B424B7" w:rsidRDefault="00B424B7" w:rsidP="00B424B7">
      <w:pPr>
        <w:pStyle w:val="NoSpacing"/>
      </w:pPr>
      <w:r>
        <w:t>SM 3113 B</w:t>
      </w:r>
      <w:r>
        <w:tab/>
      </w:r>
      <w:r>
        <w:tab/>
      </w:r>
      <w:r>
        <w:tab/>
        <w:t>85-115</w:t>
      </w:r>
      <w:r w:rsidR="00F56C07">
        <w:tab/>
      </w:r>
      <w:r w:rsidR="00F56C07">
        <w:tab/>
      </w:r>
      <w:r w:rsidR="00F56C07">
        <w:tab/>
      </w:r>
      <w:r w:rsidR="00F56C07">
        <w:tab/>
      </w:r>
      <w:r w:rsidR="00F74294">
        <w:tab/>
      </w:r>
      <w:r w:rsidR="00F56C07">
        <w:rPr>
          <w:rFonts w:cs="Times New Roman"/>
        </w:rPr>
        <w:t>≤</w:t>
      </w:r>
      <w:r w:rsidR="00F56C07">
        <w:t>10% (variation)</w:t>
      </w:r>
    </w:p>
    <w:p w:rsidR="00F56C07" w:rsidRDefault="00F56C07" w:rsidP="00B424B7">
      <w:pPr>
        <w:pStyle w:val="NoSpacing"/>
        <w:rPr>
          <w:rFonts w:cs="Times New Roman"/>
        </w:rPr>
      </w:pPr>
      <w:r>
        <w:t>EPA 200.9</w:t>
      </w:r>
      <w:r>
        <w:tab/>
      </w:r>
      <w:r>
        <w:tab/>
      </w:r>
      <w:r>
        <w:tab/>
      </w:r>
      <w:r w:rsidR="00F74294">
        <w:t>70-130</w:t>
      </w:r>
      <w:r w:rsidR="00113586" w:rsidRPr="00113586">
        <w:rPr>
          <w:vertAlign w:val="superscript"/>
        </w:rPr>
        <w:t>1</w:t>
      </w:r>
      <w:r w:rsidR="00F74294">
        <w:tab/>
      </w:r>
      <w:r w:rsidR="00F74294">
        <w:tab/>
      </w:r>
      <w:r w:rsidR="00F74294">
        <w:tab/>
      </w:r>
      <w:r w:rsidR="00F74294">
        <w:tab/>
      </w:r>
      <w:r w:rsidR="00F74294">
        <w:rPr>
          <w:rFonts w:cs="Times New Roman"/>
        </w:rPr>
        <w:t>≤20% (RPD)</w:t>
      </w:r>
      <w:r w:rsidR="00113586" w:rsidRPr="00113586">
        <w:rPr>
          <w:rFonts w:cs="Times New Roman"/>
          <w:vertAlign w:val="superscript"/>
        </w:rPr>
        <w:t>2</w:t>
      </w:r>
    </w:p>
    <w:p w:rsidR="00F74294" w:rsidRDefault="00F74294" w:rsidP="00B424B7">
      <w:pPr>
        <w:pStyle w:val="NoSpacing"/>
        <w:rPr>
          <w:rFonts w:cs="Times New Roman"/>
        </w:rPr>
      </w:pPr>
      <w:r>
        <w:rPr>
          <w:rFonts w:cs="Times New Roman"/>
        </w:rPr>
        <w:t>EPA 200.8</w:t>
      </w:r>
      <w:r>
        <w:rPr>
          <w:rFonts w:cs="Times New Roman"/>
        </w:rPr>
        <w:tab/>
      </w:r>
      <w:r>
        <w:rPr>
          <w:rFonts w:cs="Times New Roman"/>
        </w:rPr>
        <w:tab/>
      </w:r>
      <w:r>
        <w:rPr>
          <w:rFonts w:cs="Times New Roman"/>
        </w:rPr>
        <w:tab/>
        <w:t>70-130</w:t>
      </w:r>
      <w:r>
        <w:rPr>
          <w:rFonts w:cs="Times New Roman"/>
        </w:rPr>
        <w:tab/>
      </w:r>
      <w:r>
        <w:rPr>
          <w:rFonts w:cs="Times New Roman"/>
        </w:rPr>
        <w:tab/>
      </w:r>
      <w:r>
        <w:rPr>
          <w:rFonts w:cs="Times New Roman"/>
        </w:rPr>
        <w:tab/>
      </w:r>
      <w:r>
        <w:rPr>
          <w:rFonts w:cs="Times New Roman"/>
        </w:rPr>
        <w:tab/>
      </w:r>
      <w:r>
        <w:rPr>
          <w:rFonts w:cs="Times New Roman"/>
        </w:rPr>
        <w:tab/>
        <w:t>≤20% (RPD)</w:t>
      </w:r>
      <w:r w:rsidR="00113586" w:rsidRPr="00113586">
        <w:rPr>
          <w:rFonts w:cs="Times New Roman"/>
          <w:vertAlign w:val="superscript"/>
        </w:rPr>
        <w:t>2</w:t>
      </w:r>
    </w:p>
    <w:p w:rsidR="00113586" w:rsidRDefault="00F74294" w:rsidP="00113586">
      <w:pPr>
        <w:pStyle w:val="NoSpacing"/>
        <w:rPr>
          <w:rFonts w:cs="Times New Roman"/>
        </w:rPr>
      </w:pPr>
      <w:r>
        <w:rPr>
          <w:rFonts w:cs="Times New Roman"/>
        </w:rPr>
        <w:t>SM 3114 B</w:t>
      </w:r>
      <w:r>
        <w:rPr>
          <w:rFonts w:cs="Times New Roman"/>
        </w:rPr>
        <w:tab/>
      </w:r>
      <w:r>
        <w:rPr>
          <w:rFonts w:cs="Times New Roman"/>
        </w:rPr>
        <w:tab/>
      </w:r>
      <w:r>
        <w:rPr>
          <w:rFonts w:cs="Times New Roman"/>
        </w:rPr>
        <w:tab/>
      </w:r>
      <w:r w:rsidR="00113586">
        <w:rPr>
          <w:rFonts w:cs="Times New Roman"/>
        </w:rPr>
        <w:t>85-115</w:t>
      </w:r>
      <w:r w:rsidR="00113586">
        <w:rPr>
          <w:rFonts w:cs="Times New Roman"/>
        </w:rPr>
        <w:tab/>
      </w:r>
      <w:r w:rsidR="00113586">
        <w:rPr>
          <w:rFonts w:cs="Times New Roman"/>
        </w:rPr>
        <w:tab/>
      </w:r>
      <w:r w:rsidR="00113586">
        <w:rPr>
          <w:rFonts w:cs="Times New Roman"/>
        </w:rPr>
        <w:tab/>
      </w:r>
      <w:r w:rsidR="00113586">
        <w:rPr>
          <w:rFonts w:cs="Times New Roman"/>
        </w:rPr>
        <w:tab/>
      </w:r>
      <w:r w:rsidR="00113586">
        <w:rPr>
          <w:rFonts w:cs="Times New Roman"/>
        </w:rPr>
        <w:tab/>
        <w:t>≤20% (RPD)</w:t>
      </w:r>
      <w:r w:rsidR="00113586" w:rsidRPr="00113586">
        <w:rPr>
          <w:rFonts w:cs="Times New Roman"/>
          <w:vertAlign w:val="superscript"/>
        </w:rPr>
        <w:t>2</w:t>
      </w:r>
    </w:p>
    <w:p w:rsidR="00F74294" w:rsidRPr="00B424B7" w:rsidRDefault="00F74294" w:rsidP="00B424B7">
      <w:pPr>
        <w:pStyle w:val="NoSpacing"/>
      </w:pPr>
    </w:p>
    <w:p w:rsidR="00B424B7" w:rsidRPr="00113586" w:rsidRDefault="00113586" w:rsidP="00B424B7">
      <w:pPr>
        <w:pStyle w:val="NoSpacing"/>
        <w:rPr>
          <w:sz w:val="20"/>
          <w:szCs w:val="20"/>
        </w:rPr>
      </w:pPr>
      <w:r>
        <w:tab/>
      </w:r>
      <w:r w:rsidRPr="00113586">
        <w:rPr>
          <w:sz w:val="20"/>
          <w:szCs w:val="20"/>
        </w:rPr>
        <w:t xml:space="preserve">1.  70-130% is the recovery limit, 85-115% is advisory limit.  If recovery is outside 85-115% additional </w:t>
      </w:r>
      <w:r>
        <w:rPr>
          <w:sz w:val="20"/>
          <w:szCs w:val="20"/>
        </w:rPr>
        <w:tab/>
      </w:r>
      <w:r w:rsidRPr="00113586">
        <w:rPr>
          <w:sz w:val="20"/>
          <w:szCs w:val="20"/>
        </w:rPr>
        <w:t>QC techniques should be employed.</w:t>
      </w:r>
    </w:p>
    <w:p w:rsidR="00B424B7" w:rsidRPr="00113586" w:rsidRDefault="00113586" w:rsidP="00B424B7">
      <w:pPr>
        <w:spacing w:after="0"/>
        <w:rPr>
          <w:sz w:val="20"/>
          <w:szCs w:val="20"/>
        </w:rPr>
      </w:pPr>
      <w:r w:rsidRPr="00113586">
        <w:rPr>
          <w:sz w:val="20"/>
          <w:szCs w:val="20"/>
        </w:rPr>
        <w:tab/>
        <w:t>2.  The method does not specify a precision limit.  20% RPD is the accepted limit for</w:t>
      </w:r>
      <w:r>
        <w:rPr>
          <w:sz w:val="20"/>
          <w:szCs w:val="20"/>
        </w:rPr>
        <w:t xml:space="preserve"> </w:t>
      </w:r>
      <w:r w:rsidRPr="00113586">
        <w:rPr>
          <w:sz w:val="20"/>
          <w:szCs w:val="20"/>
        </w:rPr>
        <w:t xml:space="preserve">most analytical </w:t>
      </w:r>
      <w:r>
        <w:rPr>
          <w:sz w:val="20"/>
          <w:szCs w:val="20"/>
        </w:rPr>
        <w:tab/>
      </w:r>
      <w:r w:rsidRPr="00113586">
        <w:rPr>
          <w:sz w:val="20"/>
          <w:szCs w:val="20"/>
        </w:rPr>
        <w:t>techniques when derived from matrix spike/matrix spike duplicate analyses.</w:t>
      </w:r>
    </w:p>
    <w:p w:rsidR="00113586" w:rsidRDefault="00113586" w:rsidP="00B424B7">
      <w:pPr>
        <w:spacing w:after="0"/>
      </w:pPr>
    </w:p>
    <w:p w:rsidR="001E6D98" w:rsidRDefault="001E6D98" w:rsidP="00113586">
      <w:pPr>
        <w:spacing w:after="0" w:line="276" w:lineRule="auto"/>
      </w:pPr>
      <w:r>
        <w:t>The Quality Assurance Program (QAP) staff was approached by Ken Politan</w:t>
      </w:r>
      <w:r w:rsidR="00D87FFC">
        <w:t xml:space="preserve"> of WV DEP Division of Mining and Reclamation</w:t>
      </w:r>
      <w:r>
        <w:t xml:space="preserve"> with the situation in January 2008.  A review of Discharge Monitoring Reports (DMR) produced a population of laboratories routinely submitting Se data to WVDEP.  A consensus was formed that this population should be assessed to determ</w:t>
      </w:r>
      <w:r w:rsidR="004A6D05">
        <w:t xml:space="preserve">ine whether a bias was present.  The initial population of laboratories does not include all laboratories reporting data to WVDEP, only those routinely reporting Se on DMRs.  Laboratories on the state contract were included in later phases of the study in order to assess their performance. </w:t>
      </w:r>
      <w:r>
        <w:t xml:space="preserve"> The</w:t>
      </w:r>
      <w:r w:rsidR="004A6D05">
        <w:t xml:space="preserve"> </w:t>
      </w:r>
      <w:r>
        <w:t xml:space="preserve">following </w:t>
      </w:r>
      <w:r w:rsidR="00D87FFC">
        <w:t>laboratories participated in all or parts of this</w:t>
      </w:r>
      <w:r>
        <w:t xml:space="preserve"> study:</w:t>
      </w:r>
    </w:p>
    <w:p w:rsidR="001E6D98" w:rsidRDefault="001E6D98" w:rsidP="001E6D98"/>
    <w:tbl>
      <w:tblPr>
        <w:tblW w:w="5600" w:type="dxa"/>
        <w:tblInd w:w="93" w:type="dxa"/>
        <w:tblLook w:val="04A0"/>
      </w:tblPr>
      <w:tblGrid>
        <w:gridCol w:w="5816"/>
      </w:tblGrid>
      <w:tr w:rsidR="001E6D98" w:rsidRPr="000722C1" w:rsidTr="00A837D3">
        <w:trPr>
          <w:trHeight w:val="315"/>
        </w:trPr>
        <w:tc>
          <w:tcPr>
            <w:tcW w:w="5600" w:type="dxa"/>
            <w:tcBorders>
              <w:top w:val="nil"/>
              <w:left w:val="nil"/>
              <w:bottom w:val="nil"/>
              <w:right w:val="nil"/>
            </w:tcBorders>
            <w:shd w:val="clear" w:color="auto" w:fill="auto"/>
            <w:noWrap/>
            <w:vAlign w:val="bottom"/>
            <w:hideMark/>
          </w:tcPr>
          <w:p w:rsidR="001E6D98" w:rsidRPr="000722C1" w:rsidRDefault="001E6D98" w:rsidP="001E6D98">
            <w:pPr>
              <w:spacing w:after="0"/>
              <w:contextualSpacing w:val="0"/>
              <w:rPr>
                <w:rFonts w:eastAsia="Times New Roman" w:cs="Times New Roman"/>
                <w:szCs w:val="24"/>
              </w:rPr>
            </w:pPr>
            <w:r>
              <w:rPr>
                <w:rFonts w:eastAsia="Times New Roman" w:cs="Times New Roman"/>
                <w:szCs w:val="24"/>
              </w:rPr>
              <w:t xml:space="preserve"> </w:t>
            </w:r>
            <w:r w:rsidRPr="000722C1">
              <w:rPr>
                <w:rFonts w:eastAsia="Times New Roman" w:cs="Times New Roman"/>
                <w:szCs w:val="24"/>
              </w:rPr>
              <w:t>ACCULAB, INC</w:t>
            </w:r>
          </w:p>
        </w:tc>
      </w:tr>
      <w:tr w:rsidR="001E6D98" w:rsidRPr="000722C1" w:rsidTr="00A837D3">
        <w:trPr>
          <w:trHeight w:val="315"/>
        </w:trPr>
        <w:tc>
          <w:tcPr>
            <w:tcW w:w="5600" w:type="dxa"/>
            <w:tcBorders>
              <w:top w:val="nil"/>
              <w:left w:val="nil"/>
              <w:bottom w:val="nil"/>
              <w:right w:val="nil"/>
            </w:tcBorders>
            <w:shd w:val="clear" w:color="auto" w:fill="auto"/>
            <w:noWrap/>
            <w:vAlign w:val="bottom"/>
            <w:hideMark/>
          </w:tcPr>
          <w:p w:rsidR="001E6D98" w:rsidRPr="000722C1" w:rsidRDefault="001E6D98" w:rsidP="001E6D98">
            <w:pPr>
              <w:spacing w:after="0"/>
              <w:contextualSpacing w:val="0"/>
              <w:rPr>
                <w:rFonts w:eastAsia="Times New Roman" w:cs="Times New Roman"/>
                <w:szCs w:val="24"/>
              </w:rPr>
            </w:pPr>
            <w:r>
              <w:rPr>
                <w:rFonts w:eastAsia="Times New Roman" w:cs="Times New Roman"/>
                <w:szCs w:val="24"/>
              </w:rPr>
              <w:t xml:space="preserve"> </w:t>
            </w:r>
            <w:r w:rsidRPr="000722C1">
              <w:rPr>
                <w:rFonts w:eastAsia="Times New Roman" w:cs="Times New Roman"/>
                <w:szCs w:val="24"/>
              </w:rPr>
              <w:t>P.O. Box 367</w:t>
            </w:r>
          </w:p>
        </w:tc>
      </w:tr>
      <w:tr w:rsidR="001E6D98" w:rsidRPr="000722C1" w:rsidTr="00A837D3">
        <w:trPr>
          <w:trHeight w:val="315"/>
        </w:trPr>
        <w:tc>
          <w:tcPr>
            <w:tcW w:w="5600" w:type="dxa"/>
            <w:tcBorders>
              <w:top w:val="nil"/>
              <w:left w:val="nil"/>
              <w:bottom w:val="nil"/>
              <w:right w:val="nil"/>
            </w:tcBorders>
            <w:shd w:val="clear" w:color="auto" w:fill="auto"/>
            <w:noWrap/>
            <w:vAlign w:val="bottom"/>
            <w:hideMark/>
          </w:tcPr>
          <w:p w:rsidR="001E6D98" w:rsidRDefault="001E6D98" w:rsidP="001E6D98">
            <w:pPr>
              <w:spacing w:after="0"/>
              <w:contextualSpacing w:val="0"/>
              <w:rPr>
                <w:rFonts w:eastAsia="Times New Roman" w:cs="Times New Roman"/>
                <w:szCs w:val="24"/>
              </w:rPr>
            </w:pPr>
            <w:r>
              <w:rPr>
                <w:rFonts w:eastAsia="Times New Roman" w:cs="Times New Roman"/>
                <w:szCs w:val="24"/>
              </w:rPr>
              <w:t xml:space="preserve"> </w:t>
            </w:r>
            <w:r w:rsidRPr="000722C1">
              <w:rPr>
                <w:rFonts w:eastAsia="Times New Roman" w:cs="Times New Roman"/>
                <w:szCs w:val="24"/>
              </w:rPr>
              <w:t>Mt. Gay, WV 25637</w:t>
            </w:r>
          </w:p>
          <w:p w:rsidR="001E6D98" w:rsidRDefault="001E6D98" w:rsidP="001E6D98">
            <w:pPr>
              <w:spacing w:after="0"/>
              <w:contextualSpacing w:val="0"/>
              <w:rPr>
                <w:rFonts w:eastAsia="Times New Roman" w:cs="Times New Roman"/>
                <w:szCs w:val="24"/>
              </w:rPr>
            </w:pPr>
          </w:p>
          <w:tbl>
            <w:tblPr>
              <w:tblW w:w="5600" w:type="dxa"/>
              <w:tblLook w:val="04A0"/>
            </w:tblPr>
            <w:tblGrid>
              <w:gridCol w:w="5600"/>
            </w:tblGrid>
            <w:tr w:rsidR="001E6D98" w:rsidRPr="000722C1" w:rsidTr="00A837D3">
              <w:trPr>
                <w:trHeight w:val="315"/>
              </w:trPr>
              <w:tc>
                <w:tcPr>
                  <w:tcW w:w="5600" w:type="dxa"/>
                  <w:tcBorders>
                    <w:top w:val="nil"/>
                    <w:left w:val="nil"/>
                    <w:bottom w:val="nil"/>
                    <w:right w:val="nil"/>
                  </w:tcBorders>
                  <w:shd w:val="clear" w:color="auto" w:fill="auto"/>
                  <w:noWrap/>
                  <w:vAlign w:val="bottom"/>
                  <w:hideMark/>
                </w:tcPr>
                <w:p w:rsidR="001E6D98" w:rsidRPr="000722C1" w:rsidRDefault="001E6D98" w:rsidP="001E6D98">
                  <w:pPr>
                    <w:spacing w:after="0"/>
                    <w:contextualSpacing w:val="0"/>
                    <w:rPr>
                      <w:rFonts w:eastAsia="Times New Roman" w:cs="Times New Roman"/>
                      <w:szCs w:val="24"/>
                    </w:rPr>
                  </w:pPr>
                  <w:r w:rsidRPr="000722C1">
                    <w:rPr>
                      <w:rFonts w:eastAsia="Times New Roman" w:cs="Times New Roman"/>
                      <w:szCs w:val="24"/>
                    </w:rPr>
                    <w:t>AEP – Dolin Chemical Laboratory</w:t>
                  </w:r>
                </w:p>
              </w:tc>
            </w:tr>
            <w:tr w:rsidR="001E6D98" w:rsidRPr="000722C1" w:rsidTr="00A837D3">
              <w:trPr>
                <w:trHeight w:val="315"/>
              </w:trPr>
              <w:tc>
                <w:tcPr>
                  <w:tcW w:w="5600" w:type="dxa"/>
                  <w:tcBorders>
                    <w:top w:val="nil"/>
                    <w:left w:val="nil"/>
                    <w:bottom w:val="nil"/>
                    <w:right w:val="nil"/>
                  </w:tcBorders>
                  <w:shd w:val="clear" w:color="auto" w:fill="auto"/>
                  <w:noWrap/>
                  <w:vAlign w:val="bottom"/>
                  <w:hideMark/>
                </w:tcPr>
                <w:p w:rsidR="001E6D98" w:rsidRPr="000722C1" w:rsidRDefault="001E6D98" w:rsidP="001E6D98">
                  <w:pPr>
                    <w:spacing w:after="0"/>
                    <w:contextualSpacing w:val="0"/>
                    <w:rPr>
                      <w:rFonts w:eastAsia="Times New Roman" w:cs="Times New Roman"/>
                      <w:szCs w:val="24"/>
                    </w:rPr>
                  </w:pPr>
                  <w:r w:rsidRPr="000722C1">
                    <w:rPr>
                      <w:rFonts w:eastAsia="Times New Roman" w:cs="Times New Roman"/>
                      <w:szCs w:val="24"/>
                    </w:rPr>
                    <w:t>4001 Bixby Road</w:t>
                  </w:r>
                </w:p>
              </w:tc>
            </w:tr>
            <w:tr w:rsidR="001E6D98" w:rsidRPr="000722C1" w:rsidTr="00A837D3">
              <w:trPr>
                <w:trHeight w:val="315"/>
              </w:trPr>
              <w:tc>
                <w:tcPr>
                  <w:tcW w:w="5600" w:type="dxa"/>
                  <w:tcBorders>
                    <w:top w:val="nil"/>
                    <w:left w:val="nil"/>
                    <w:bottom w:val="nil"/>
                    <w:right w:val="nil"/>
                  </w:tcBorders>
                  <w:shd w:val="clear" w:color="auto" w:fill="auto"/>
                  <w:noWrap/>
                  <w:vAlign w:val="bottom"/>
                  <w:hideMark/>
                </w:tcPr>
                <w:p w:rsidR="001E6D98" w:rsidRPr="000722C1" w:rsidRDefault="001E6D98" w:rsidP="001E6D98">
                  <w:pPr>
                    <w:spacing w:after="0"/>
                    <w:contextualSpacing w:val="0"/>
                    <w:rPr>
                      <w:rFonts w:eastAsia="Times New Roman" w:cs="Times New Roman"/>
                      <w:szCs w:val="24"/>
                    </w:rPr>
                  </w:pPr>
                  <w:r w:rsidRPr="000722C1">
                    <w:rPr>
                      <w:rFonts w:eastAsia="Times New Roman" w:cs="Times New Roman"/>
                      <w:szCs w:val="24"/>
                    </w:rPr>
                    <w:t>Groveport, OH      43215</w:t>
                  </w:r>
                </w:p>
              </w:tc>
            </w:tr>
          </w:tbl>
          <w:p w:rsidR="001E6D98" w:rsidRDefault="001E6D98" w:rsidP="001E6D98">
            <w:pPr>
              <w:spacing w:after="0"/>
              <w:contextualSpacing w:val="0"/>
              <w:rPr>
                <w:rFonts w:eastAsia="Times New Roman" w:cs="Times New Roman"/>
                <w:szCs w:val="24"/>
              </w:rPr>
            </w:pPr>
          </w:p>
          <w:tbl>
            <w:tblPr>
              <w:tblW w:w="5600" w:type="dxa"/>
              <w:tblLook w:val="04A0"/>
            </w:tblPr>
            <w:tblGrid>
              <w:gridCol w:w="5600"/>
            </w:tblGrid>
            <w:tr w:rsidR="001E6D98" w:rsidRPr="000722C1" w:rsidTr="00A837D3">
              <w:trPr>
                <w:trHeight w:val="315"/>
              </w:trPr>
              <w:tc>
                <w:tcPr>
                  <w:tcW w:w="5600" w:type="dxa"/>
                  <w:tcBorders>
                    <w:top w:val="nil"/>
                    <w:left w:val="nil"/>
                    <w:bottom w:val="nil"/>
                    <w:right w:val="nil"/>
                  </w:tcBorders>
                  <w:shd w:val="clear" w:color="auto" w:fill="auto"/>
                  <w:noWrap/>
                  <w:vAlign w:val="bottom"/>
                  <w:hideMark/>
                </w:tcPr>
                <w:p w:rsidR="001E6D98" w:rsidRPr="000722C1" w:rsidRDefault="001E6D98" w:rsidP="001E6D98">
                  <w:pPr>
                    <w:spacing w:after="0"/>
                    <w:contextualSpacing w:val="0"/>
                    <w:rPr>
                      <w:rFonts w:eastAsia="Times New Roman" w:cs="Times New Roman"/>
                      <w:szCs w:val="24"/>
                    </w:rPr>
                  </w:pPr>
                  <w:r w:rsidRPr="000722C1">
                    <w:rPr>
                      <w:rFonts w:eastAsia="Times New Roman" w:cs="Times New Roman"/>
                      <w:szCs w:val="24"/>
                    </w:rPr>
                    <w:t>ANALABS, INCORPORATED</w:t>
                  </w:r>
                </w:p>
              </w:tc>
            </w:tr>
            <w:tr w:rsidR="001E6D98" w:rsidRPr="000722C1" w:rsidTr="00A837D3">
              <w:trPr>
                <w:trHeight w:val="315"/>
              </w:trPr>
              <w:tc>
                <w:tcPr>
                  <w:tcW w:w="5600" w:type="dxa"/>
                  <w:tcBorders>
                    <w:top w:val="nil"/>
                    <w:left w:val="nil"/>
                    <w:bottom w:val="nil"/>
                    <w:right w:val="nil"/>
                  </w:tcBorders>
                  <w:shd w:val="clear" w:color="auto" w:fill="auto"/>
                  <w:noWrap/>
                  <w:vAlign w:val="bottom"/>
                  <w:hideMark/>
                </w:tcPr>
                <w:p w:rsidR="001E6D98" w:rsidRPr="000722C1" w:rsidRDefault="001E6D98" w:rsidP="001E6D98">
                  <w:pPr>
                    <w:spacing w:after="0"/>
                    <w:contextualSpacing w:val="0"/>
                    <w:rPr>
                      <w:rFonts w:eastAsia="Times New Roman" w:cs="Times New Roman"/>
                      <w:szCs w:val="24"/>
                    </w:rPr>
                  </w:pPr>
                  <w:r w:rsidRPr="000722C1">
                    <w:rPr>
                      <w:rFonts w:eastAsia="Times New Roman" w:cs="Times New Roman"/>
                      <w:szCs w:val="24"/>
                    </w:rPr>
                    <w:t>P.O. Box 1235</w:t>
                  </w:r>
                </w:p>
              </w:tc>
            </w:tr>
            <w:tr w:rsidR="001E6D98" w:rsidRPr="000722C1" w:rsidTr="00A837D3">
              <w:trPr>
                <w:trHeight w:val="315"/>
              </w:trPr>
              <w:tc>
                <w:tcPr>
                  <w:tcW w:w="5600" w:type="dxa"/>
                  <w:tcBorders>
                    <w:top w:val="nil"/>
                    <w:left w:val="nil"/>
                    <w:bottom w:val="nil"/>
                    <w:right w:val="nil"/>
                  </w:tcBorders>
                  <w:shd w:val="clear" w:color="auto" w:fill="auto"/>
                  <w:noWrap/>
                  <w:vAlign w:val="bottom"/>
                  <w:hideMark/>
                </w:tcPr>
                <w:p w:rsidR="001E6D98" w:rsidRPr="000722C1" w:rsidRDefault="001E6D98" w:rsidP="001E6D98">
                  <w:pPr>
                    <w:spacing w:after="0"/>
                    <w:contextualSpacing w:val="0"/>
                    <w:rPr>
                      <w:rFonts w:eastAsia="Times New Roman" w:cs="Times New Roman"/>
                      <w:szCs w:val="24"/>
                    </w:rPr>
                  </w:pPr>
                  <w:r w:rsidRPr="000722C1">
                    <w:rPr>
                      <w:rFonts w:eastAsia="Times New Roman" w:cs="Times New Roman"/>
                      <w:szCs w:val="24"/>
                    </w:rPr>
                    <w:t>Crab Orchard, WV 25827</w:t>
                  </w:r>
                </w:p>
              </w:tc>
            </w:tr>
          </w:tbl>
          <w:p w:rsidR="001E6D98" w:rsidRDefault="001E6D98" w:rsidP="001E6D98">
            <w:pPr>
              <w:spacing w:after="0"/>
              <w:contextualSpacing w:val="0"/>
              <w:rPr>
                <w:rFonts w:eastAsia="Times New Roman" w:cs="Times New Roman"/>
                <w:szCs w:val="24"/>
              </w:rPr>
            </w:pPr>
          </w:p>
          <w:tbl>
            <w:tblPr>
              <w:tblW w:w="5600" w:type="dxa"/>
              <w:tblLook w:val="04A0"/>
            </w:tblPr>
            <w:tblGrid>
              <w:gridCol w:w="5600"/>
            </w:tblGrid>
            <w:tr w:rsidR="001E6D98" w:rsidRPr="000722C1" w:rsidTr="00A837D3">
              <w:trPr>
                <w:trHeight w:val="315"/>
              </w:trPr>
              <w:tc>
                <w:tcPr>
                  <w:tcW w:w="5600" w:type="dxa"/>
                  <w:tcBorders>
                    <w:top w:val="nil"/>
                    <w:left w:val="nil"/>
                    <w:bottom w:val="nil"/>
                    <w:right w:val="nil"/>
                  </w:tcBorders>
                  <w:shd w:val="clear" w:color="auto" w:fill="auto"/>
                  <w:noWrap/>
                  <w:vAlign w:val="bottom"/>
                  <w:hideMark/>
                </w:tcPr>
                <w:p w:rsidR="001E6D98" w:rsidRPr="000722C1" w:rsidRDefault="001E6D98" w:rsidP="001E6D98">
                  <w:pPr>
                    <w:spacing w:after="0"/>
                    <w:contextualSpacing w:val="0"/>
                    <w:rPr>
                      <w:rFonts w:eastAsia="Times New Roman" w:cs="Times New Roman"/>
                      <w:szCs w:val="24"/>
                    </w:rPr>
                  </w:pPr>
                  <w:r w:rsidRPr="000722C1">
                    <w:rPr>
                      <w:rFonts w:eastAsia="Times New Roman" w:cs="Times New Roman"/>
                      <w:szCs w:val="24"/>
                    </w:rPr>
                    <w:t>APPALACHIAN LAB. INC.</w:t>
                  </w:r>
                </w:p>
              </w:tc>
            </w:tr>
            <w:tr w:rsidR="001E6D98" w:rsidRPr="000722C1" w:rsidTr="00A837D3">
              <w:trPr>
                <w:trHeight w:val="315"/>
              </w:trPr>
              <w:tc>
                <w:tcPr>
                  <w:tcW w:w="5600" w:type="dxa"/>
                  <w:tcBorders>
                    <w:top w:val="nil"/>
                    <w:left w:val="nil"/>
                    <w:bottom w:val="nil"/>
                    <w:right w:val="nil"/>
                  </w:tcBorders>
                  <w:shd w:val="clear" w:color="auto" w:fill="auto"/>
                  <w:noWrap/>
                  <w:vAlign w:val="bottom"/>
                  <w:hideMark/>
                </w:tcPr>
                <w:p w:rsidR="001E6D98" w:rsidRPr="000722C1" w:rsidRDefault="001E6D98" w:rsidP="001E6D98">
                  <w:pPr>
                    <w:spacing w:after="0"/>
                    <w:contextualSpacing w:val="0"/>
                    <w:rPr>
                      <w:rFonts w:eastAsia="Times New Roman" w:cs="Times New Roman"/>
                      <w:szCs w:val="24"/>
                    </w:rPr>
                  </w:pPr>
                  <w:r w:rsidRPr="000722C1">
                    <w:rPr>
                      <w:rFonts w:eastAsia="Times New Roman" w:cs="Times New Roman"/>
                      <w:szCs w:val="24"/>
                    </w:rPr>
                    <w:t>P.O. Box 392</w:t>
                  </w:r>
                </w:p>
              </w:tc>
            </w:tr>
            <w:tr w:rsidR="001E6D98" w:rsidRPr="000722C1" w:rsidTr="00A837D3">
              <w:trPr>
                <w:trHeight w:val="315"/>
              </w:trPr>
              <w:tc>
                <w:tcPr>
                  <w:tcW w:w="5600" w:type="dxa"/>
                  <w:tcBorders>
                    <w:top w:val="nil"/>
                    <w:left w:val="nil"/>
                    <w:bottom w:val="nil"/>
                    <w:right w:val="nil"/>
                  </w:tcBorders>
                  <w:shd w:val="clear" w:color="auto" w:fill="auto"/>
                  <w:noWrap/>
                  <w:vAlign w:val="bottom"/>
                  <w:hideMark/>
                </w:tcPr>
                <w:p w:rsidR="001E6D98" w:rsidRPr="000722C1" w:rsidRDefault="001E6D98" w:rsidP="001E6D98">
                  <w:pPr>
                    <w:spacing w:after="0"/>
                    <w:contextualSpacing w:val="0"/>
                    <w:rPr>
                      <w:rFonts w:eastAsia="Times New Roman" w:cs="Times New Roman"/>
                      <w:szCs w:val="24"/>
                    </w:rPr>
                  </w:pPr>
                  <w:r w:rsidRPr="000722C1">
                    <w:rPr>
                      <w:rFonts w:eastAsia="Times New Roman" w:cs="Times New Roman"/>
                      <w:szCs w:val="24"/>
                    </w:rPr>
                    <w:t>Beckley, WV 25802</w:t>
                  </w:r>
                </w:p>
              </w:tc>
            </w:tr>
          </w:tbl>
          <w:p w:rsidR="001E6D98" w:rsidRDefault="001E6D98" w:rsidP="001E6D98">
            <w:pPr>
              <w:spacing w:after="0"/>
              <w:contextualSpacing w:val="0"/>
              <w:rPr>
                <w:rFonts w:eastAsia="Times New Roman" w:cs="Times New Roman"/>
                <w:szCs w:val="24"/>
              </w:rPr>
            </w:pPr>
          </w:p>
          <w:p w:rsidR="00113586" w:rsidRDefault="00113586" w:rsidP="00113586">
            <w:pPr>
              <w:pStyle w:val="NoSpacing"/>
            </w:pPr>
          </w:p>
          <w:p w:rsidR="00113586" w:rsidRPr="00113586" w:rsidRDefault="00113586" w:rsidP="00113586">
            <w:pPr>
              <w:pStyle w:val="NoSpacing"/>
            </w:pPr>
          </w:p>
          <w:tbl>
            <w:tblPr>
              <w:tblW w:w="5600" w:type="dxa"/>
              <w:tblLook w:val="04A0"/>
            </w:tblPr>
            <w:tblGrid>
              <w:gridCol w:w="5600"/>
            </w:tblGrid>
            <w:tr w:rsidR="001E6D98" w:rsidRPr="000722C1" w:rsidTr="00A837D3">
              <w:trPr>
                <w:trHeight w:val="315"/>
              </w:trPr>
              <w:tc>
                <w:tcPr>
                  <w:tcW w:w="5600" w:type="dxa"/>
                  <w:tcBorders>
                    <w:top w:val="nil"/>
                    <w:left w:val="nil"/>
                    <w:bottom w:val="nil"/>
                    <w:right w:val="nil"/>
                  </w:tcBorders>
                  <w:shd w:val="clear" w:color="auto" w:fill="auto"/>
                  <w:noWrap/>
                  <w:vAlign w:val="bottom"/>
                  <w:hideMark/>
                </w:tcPr>
                <w:p w:rsidR="001E6D98" w:rsidRPr="000722C1" w:rsidRDefault="001E6D98" w:rsidP="001E6D98">
                  <w:pPr>
                    <w:spacing w:after="0"/>
                    <w:contextualSpacing w:val="0"/>
                    <w:rPr>
                      <w:rFonts w:eastAsia="Times New Roman" w:cs="Times New Roman"/>
                      <w:szCs w:val="24"/>
                    </w:rPr>
                  </w:pPr>
                  <w:r w:rsidRPr="000722C1">
                    <w:rPr>
                      <w:rFonts w:eastAsia="Times New Roman" w:cs="Times New Roman"/>
                      <w:szCs w:val="24"/>
                    </w:rPr>
                    <w:lastRenderedPageBreak/>
                    <w:t>APPALACHIAN STATES ANALYTICAL, LLC</w:t>
                  </w:r>
                </w:p>
              </w:tc>
            </w:tr>
            <w:tr w:rsidR="001E6D98" w:rsidRPr="000722C1" w:rsidTr="00A837D3">
              <w:trPr>
                <w:trHeight w:val="315"/>
              </w:trPr>
              <w:tc>
                <w:tcPr>
                  <w:tcW w:w="5600" w:type="dxa"/>
                  <w:tcBorders>
                    <w:top w:val="nil"/>
                    <w:left w:val="nil"/>
                    <w:bottom w:val="nil"/>
                    <w:right w:val="nil"/>
                  </w:tcBorders>
                  <w:shd w:val="clear" w:color="auto" w:fill="auto"/>
                  <w:noWrap/>
                  <w:vAlign w:val="bottom"/>
                  <w:hideMark/>
                </w:tcPr>
                <w:p w:rsidR="001E6D98" w:rsidRPr="000722C1" w:rsidRDefault="001E6D98" w:rsidP="001E6D98">
                  <w:pPr>
                    <w:spacing w:after="0"/>
                    <w:contextualSpacing w:val="0"/>
                    <w:rPr>
                      <w:rFonts w:eastAsia="Times New Roman" w:cs="Times New Roman"/>
                      <w:szCs w:val="24"/>
                    </w:rPr>
                  </w:pPr>
                  <w:r w:rsidRPr="000722C1">
                    <w:rPr>
                      <w:rFonts w:eastAsia="Times New Roman" w:cs="Times New Roman"/>
                      <w:szCs w:val="24"/>
                    </w:rPr>
                    <w:t>P.O. Box 520</w:t>
                  </w:r>
                </w:p>
              </w:tc>
            </w:tr>
            <w:tr w:rsidR="001E6D98" w:rsidRPr="000722C1" w:rsidTr="00A837D3">
              <w:trPr>
                <w:trHeight w:val="315"/>
              </w:trPr>
              <w:tc>
                <w:tcPr>
                  <w:tcW w:w="5600" w:type="dxa"/>
                  <w:tcBorders>
                    <w:top w:val="nil"/>
                    <w:left w:val="nil"/>
                    <w:bottom w:val="nil"/>
                    <w:right w:val="nil"/>
                  </w:tcBorders>
                  <w:shd w:val="clear" w:color="auto" w:fill="auto"/>
                  <w:noWrap/>
                  <w:vAlign w:val="bottom"/>
                  <w:hideMark/>
                </w:tcPr>
                <w:p w:rsidR="001E6D98" w:rsidRPr="000722C1" w:rsidRDefault="001E6D98" w:rsidP="001E6D98">
                  <w:pPr>
                    <w:spacing w:after="0"/>
                    <w:contextualSpacing w:val="0"/>
                    <w:rPr>
                      <w:rFonts w:eastAsia="Times New Roman" w:cs="Times New Roman"/>
                      <w:szCs w:val="24"/>
                    </w:rPr>
                  </w:pPr>
                  <w:r w:rsidRPr="000722C1">
                    <w:rPr>
                      <w:rFonts w:eastAsia="Times New Roman" w:cs="Times New Roman"/>
                      <w:szCs w:val="24"/>
                    </w:rPr>
                    <w:t>Shelbianna, KY 41562</w:t>
                  </w:r>
                </w:p>
              </w:tc>
            </w:tr>
          </w:tbl>
          <w:p w:rsidR="001E6D98" w:rsidRDefault="001E6D98" w:rsidP="001E6D98">
            <w:pPr>
              <w:spacing w:after="0"/>
              <w:contextualSpacing w:val="0"/>
              <w:rPr>
                <w:rFonts w:eastAsia="Times New Roman" w:cs="Times New Roman"/>
                <w:szCs w:val="24"/>
              </w:rPr>
            </w:pPr>
          </w:p>
          <w:p w:rsidR="00D87FFC" w:rsidRDefault="00D87FFC" w:rsidP="00D87FFC">
            <w:pPr>
              <w:pStyle w:val="NoSpacing"/>
            </w:pPr>
            <w:r>
              <w:t xml:space="preserve">  BIO-CHEM TESTING, INC</w:t>
            </w:r>
          </w:p>
          <w:p w:rsidR="00D87FFC" w:rsidRDefault="00D87FFC" w:rsidP="00D87FFC">
            <w:pPr>
              <w:pStyle w:val="NoSpacing"/>
            </w:pPr>
            <w:r>
              <w:t xml:space="preserve">  P.O. Box 634</w:t>
            </w:r>
          </w:p>
          <w:p w:rsidR="00D87FFC" w:rsidRDefault="00D87FFC" w:rsidP="00D87FFC">
            <w:pPr>
              <w:pStyle w:val="NoSpacing"/>
            </w:pPr>
            <w:r>
              <w:t xml:space="preserve">  Teays, WV   25569</w:t>
            </w:r>
          </w:p>
          <w:p w:rsidR="00D87FFC" w:rsidRPr="00D87FFC" w:rsidRDefault="00D87FFC" w:rsidP="00D87FFC">
            <w:pPr>
              <w:pStyle w:val="NoSpacing"/>
            </w:pPr>
          </w:p>
          <w:tbl>
            <w:tblPr>
              <w:tblW w:w="5600" w:type="dxa"/>
              <w:tblLook w:val="04A0"/>
            </w:tblPr>
            <w:tblGrid>
              <w:gridCol w:w="5600"/>
            </w:tblGrid>
            <w:tr w:rsidR="001E6D98" w:rsidRPr="000722C1" w:rsidTr="00A837D3">
              <w:trPr>
                <w:trHeight w:val="315"/>
              </w:trPr>
              <w:tc>
                <w:tcPr>
                  <w:tcW w:w="5600" w:type="dxa"/>
                  <w:tcBorders>
                    <w:top w:val="nil"/>
                    <w:left w:val="nil"/>
                    <w:bottom w:val="nil"/>
                    <w:right w:val="nil"/>
                  </w:tcBorders>
                  <w:shd w:val="clear" w:color="auto" w:fill="auto"/>
                  <w:noWrap/>
                  <w:vAlign w:val="bottom"/>
                  <w:hideMark/>
                </w:tcPr>
                <w:p w:rsidR="001E6D98" w:rsidRPr="000722C1" w:rsidRDefault="001E6D98" w:rsidP="001E6D98">
                  <w:pPr>
                    <w:spacing w:after="0"/>
                    <w:contextualSpacing w:val="0"/>
                    <w:rPr>
                      <w:rFonts w:eastAsia="Times New Roman" w:cs="Times New Roman"/>
                      <w:szCs w:val="24"/>
                    </w:rPr>
                  </w:pPr>
                  <w:r w:rsidRPr="000722C1">
                    <w:rPr>
                      <w:rFonts w:eastAsia="Times New Roman" w:cs="Times New Roman"/>
                      <w:szCs w:val="24"/>
                    </w:rPr>
                    <w:t>CENTRAL TESTING, INC.</w:t>
                  </w:r>
                </w:p>
              </w:tc>
            </w:tr>
            <w:tr w:rsidR="001E6D98" w:rsidRPr="000722C1" w:rsidTr="00A837D3">
              <w:trPr>
                <w:trHeight w:val="315"/>
              </w:trPr>
              <w:tc>
                <w:tcPr>
                  <w:tcW w:w="5600" w:type="dxa"/>
                  <w:tcBorders>
                    <w:top w:val="nil"/>
                    <w:left w:val="nil"/>
                    <w:bottom w:val="nil"/>
                    <w:right w:val="nil"/>
                  </w:tcBorders>
                  <w:shd w:val="clear" w:color="auto" w:fill="auto"/>
                  <w:noWrap/>
                  <w:vAlign w:val="bottom"/>
                  <w:hideMark/>
                </w:tcPr>
                <w:p w:rsidR="001E6D98" w:rsidRPr="000722C1" w:rsidRDefault="001E6D98" w:rsidP="001E6D98">
                  <w:pPr>
                    <w:spacing w:after="0"/>
                    <w:contextualSpacing w:val="0"/>
                    <w:rPr>
                      <w:rFonts w:eastAsia="Times New Roman" w:cs="Times New Roman"/>
                      <w:szCs w:val="24"/>
                    </w:rPr>
                  </w:pPr>
                  <w:r w:rsidRPr="000722C1">
                    <w:rPr>
                      <w:rFonts w:eastAsia="Times New Roman" w:cs="Times New Roman"/>
                      <w:szCs w:val="24"/>
                    </w:rPr>
                    <w:t>P.O. Box 481</w:t>
                  </w:r>
                </w:p>
              </w:tc>
            </w:tr>
            <w:tr w:rsidR="001E6D98" w:rsidRPr="000722C1" w:rsidTr="00A837D3">
              <w:trPr>
                <w:trHeight w:val="315"/>
              </w:trPr>
              <w:tc>
                <w:tcPr>
                  <w:tcW w:w="5600" w:type="dxa"/>
                  <w:tcBorders>
                    <w:top w:val="nil"/>
                    <w:left w:val="nil"/>
                    <w:bottom w:val="nil"/>
                    <w:right w:val="nil"/>
                  </w:tcBorders>
                  <w:shd w:val="clear" w:color="auto" w:fill="auto"/>
                  <w:noWrap/>
                  <w:vAlign w:val="bottom"/>
                  <w:hideMark/>
                </w:tcPr>
                <w:p w:rsidR="001E6D98" w:rsidRPr="000722C1" w:rsidRDefault="001E6D98" w:rsidP="001E6D98">
                  <w:pPr>
                    <w:spacing w:after="0"/>
                    <w:contextualSpacing w:val="0"/>
                    <w:rPr>
                      <w:rFonts w:eastAsia="Times New Roman" w:cs="Times New Roman"/>
                      <w:szCs w:val="24"/>
                    </w:rPr>
                  </w:pPr>
                  <w:r w:rsidRPr="000722C1">
                    <w:rPr>
                      <w:rFonts w:eastAsia="Times New Roman" w:cs="Times New Roman"/>
                      <w:szCs w:val="24"/>
                    </w:rPr>
                    <w:t>Summersville, WV 26651</w:t>
                  </w:r>
                </w:p>
              </w:tc>
            </w:tr>
          </w:tbl>
          <w:p w:rsidR="001E6D98" w:rsidRDefault="001E6D98" w:rsidP="001E6D98">
            <w:pPr>
              <w:spacing w:after="0"/>
              <w:contextualSpacing w:val="0"/>
              <w:rPr>
                <w:rFonts w:eastAsia="Times New Roman" w:cs="Times New Roman"/>
                <w:szCs w:val="24"/>
              </w:rPr>
            </w:pPr>
          </w:p>
          <w:tbl>
            <w:tblPr>
              <w:tblW w:w="5600" w:type="dxa"/>
              <w:tblLook w:val="04A0"/>
            </w:tblPr>
            <w:tblGrid>
              <w:gridCol w:w="5600"/>
            </w:tblGrid>
            <w:tr w:rsidR="001E6D98" w:rsidRPr="000722C1" w:rsidTr="00A837D3">
              <w:trPr>
                <w:trHeight w:val="315"/>
              </w:trPr>
              <w:tc>
                <w:tcPr>
                  <w:tcW w:w="5600" w:type="dxa"/>
                  <w:tcBorders>
                    <w:top w:val="nil"/>
                    <w:left w:val="nil"/>
                    <w:bottom w:val="nil"/>
                    <w:right w:val="nil"/>
                  </w:tcBorders>
                  <w:shd w:val="clear" w:color="auto" w:fill="auto"/>
                  <w:noWrap/>
                  <w:vAlign w:val="bottom"/>
                  <w:hideMark/>
                </w:tcPr>
                <w:p w:rsidR="001E6D98" w:rsidRPr="000722C1" w:rsidRDefault="001E6D98" w:rsidP="001E6D98">
                  <w:pPr>
                    <w:spacing w:after="0"/>
                    <w:contextualSpacing w:val="0"/>
                    <w:rPr>
                      <w:rFonts w:eastAsia="Times New Roman" w:cs="Times New Roman"/>
                      <w:szCs w:val="24"/>
                    </w:rPr>
                  </w:pPr>
                  <w:r w:rsidRPr="000722C1">
                    <w:rPr>
                      <w:rFonts w:eastAsia="Times New Roman" w:cs="Times New Roman"/>
                      <w:szCs w:val="24"/>
                    </w:rPr>
                    <w:t>COMPLIANCE MONITORING LABORATORIES, INC.</w:t>
                  </w:r>
                </w:p>
              </w:tc>
            </w:tr>
            <w:tr w:rsidR="001E6D98" w:rsidRPr="000722C1" w:rsidTr="00A837D3">
              <w:trPr>
                <w:trHeight w:val="315"/>
              </w:trPr>
              <w:tc>
                <w:tcPr>
                  <w:tcW w:w="5600" w:type="dxa"/>
                  <w:tcBorders>
                    <w:top w:val="nil"/>
                    <w:left w:val="nil"/>
                    <w:bottom w:val="nil"/>
                    <w:right w:val="nil"/>
                  </w:tcBorders>
                  <w:shd w:val="clear" w:color="auto" w:fill="auto"/>
                  <w:noWrap/>
                  <w:vAlign w:val="bottom"/>
                  <w:hideMark/>
                </w:tcPr>
                <w:p w:rsidR="001E6D98" w:rsidRPr="000722C1" w:rsidRDefault="001E6D98" w:rsidP="001E6D98">
                  <w:pPr>
                    <w:spacing w:after="0"/>
                    <w:contextualSpacing w:val="0"/>
                    <w:rPr>
                      <w:rFonts w:eastAsia="Times New Roman" w:cs="Times New Roman"/>
                      <w:szCs w:val="24"/>
                    </w:rPr>
                  </w:pPr>
                  <w:r w:rsidRPr="000722C1">
                    <w:rPr>
                      <w:rFonts w:eastAsia="Times New Roman" w:cs="Times New Roman"/>
                      <w:szCs w:val="24"/>
                    </w:rPr>
                    <w:t>50 Caney Branch Road</w:t>
                  </w:r>
                </w:p>
              </w:tc>
            </w:tr>
            <w:tr w:rsidR="001E6D98" w:rsidRPr="000722C1" w:rsidTr="00A837D3">
              <w:trPr>
                <w:trHeight w:val="315"/>
              </w:trPr>
              <w:tc>
                <w:tcPr>
                  <w:tcW w:w="5600" w:type="dxa"/>
                  <w:tcBorders>
                    <w:top w:val="nil"/>
                    <w:left w:val="nil"/>
                    <w:bottom w:val="nil"/>
                    <w:right w:val="nil"/>
                  </w:tcBorders>
                  <w:shd w:val="clear" w:color="auto" w:fill="auto"/>
                  <w:noWrap/>
                  <w:vAlign w:val="bottom"/>
                  <w:hideMark/>
                </w:tcPr>
                <w:p w:rsidR="001E6D98" w:rsidRPr="000722C1" w:rsidRDefault="001E6D98" w:rsidP="001E6D98">
                  <w:pPr>
                    <w:spacing w:after="0"/>
                    <w:contextualSpacing w:val="0"/>
                    <w:rPr>
                      <w:rFonts w:eastAsia="Times New Roman" w:cs="Times New Roman"/>
                      <w:szCs w:val="24"/>
                    </w:rPr>
                  </w:pPr>
                  <w:r w:rsidRPr="000722C1">
                    <w:rPr>
                      <w:rFonts w:eastAsia="Times New Roman" w:cs="Times New Roman"/>
                      <w:szCs w:val="24"/>
                    </w:rPr>
                    <w:t>Chapmanville, WV 25508</w:t>
                  </w:r>
                </w:p>
              </w:tc>
            </w:tr>
          </w:tbl>
          <w:p w:rsidR="001E6D98" w:rsidRDefault="001E6D98" w:rsidP="001E6D98">
            <w:pPr>
              <w:spacing w:after="0"/>
              <w:contextualSpacing w:val="0"/>
              <w:rPr>
                <w:rFonts w:eastAsia="Times New Roman" w:cs="Times New Roman"/>
                <w:szCs w:val="24"/>
              </w:rPr>
            </w:pPr>
          </w:p>
          <w:tbl>
            <w:tblPr>
              <w:tblW w:w="5600" w:type="dxa"/>
              <w:tblLook w:val="04A0"/>
            </w:tblPr>
            <w:tblGrid>
              <w:gridCol w:w="5600"/>
            </w:tblGrid>
            <w:tr w:rsidR="001E6D98" w:rsidRPr="00714B4D" w:rsidTr="00A837D3">
              <w:trPr>
                <w:trHeight w:val="315"/>
              </w:trPr>
              <w:tc>
                <w:tcPr>
                  <w:tcW w:w="5600" w:type="dxa"/>
                  <w:tcBorders>
                    <w:top w:val="nil"/>
                    <w:left w:val="nil"/>
                    <w:bottom w:val="nil"/>
                    <w:right w:val="nil"/>
                  </w:tcBorders>
                  <w:shd w:val="clear" w:color="auto" w:fill="auto"/>
                  <w:noWrap/>
                  <w:vAlign w:val="bottom"/>
                  <w:hideMark/>
                </w:tcPr>
                <w:p w:rsidR="001E6D98" w:rsidRPr="00714B4D" w:rsidRDefault="001E6D98" w:rsidP="001E6D98">
                  <w:pPr>
                    <w:spacing w:after="0"/>
                    <w:contextualSpacing w:val="0"/>
                    <w:rPr>
                      <w:rFonts w:eastAsia="Times New Roman" w:cs="Times New Roman"/>
                      <w:color w:val="000000"/>
                      <w:szCs w:val="24"/>
                    </w:rPr>
                  </w:pPr>
                  <w:r w:rsidRPr="00714B4D">
                    <w:rPr>
                      <w:rFonts w:eastAsia="Times New Roman" w:cs="Times New Roman"/>
                      <w:color w:val="000000"/>
                      <w:szCs w:val="24"/>
                    </w:rPr>
                    <w:t>MINERAL LABORATORIES</w:t>
                  </w:r>
                </w:p>
              </w:tc>
            </w:tr>
            <w:tr w:rsidR="001E6D98" w:rsidRPr="00714B4D" w:rsidTr="00A837D3">
              <w:trPr>
                <w:trHeight w:val="315"/>
              </w:trPr>
              <w:tc>
                <w:tcPr>
                  <w:tcW w:w="5600" w:type="dxa"/>
                  <w:tcBorders>
                    <w:top w:val="nil"/>
                    <w:left w:val="nil"/>
                    <w:bottom w:val="nil"/>
                    <w:right w:val="nil"/>
                  </w:tcBorders>
                  <w:shd w:val="clear" w:color="auto" w:fill="auto"/>
                  <w:noWrap/>
                  <w:vAlign w:val="bottom"/>
                  <w:hideMark/>
                </w:tcPr>
                <w:p w:rsidR="001E6D98" w:rsidRPr="00714B4D" w:rsidRDefault="001E6D98" w:rsidP="001E6D98">
                  <w:pPr>
                    <w:spacing w:after="0"/>
                    <w:contextualSpacing w:val="0"/>
                    <w:rPr>
                      <w:rFonts w:eastAsia="Times New Roman" w:cs="Times New Roman"/>
                      <w:color w:val="000000"/>
                      <w:szCs w:val="24"/>
                    </w:rPr>
                  </w:pPr>
                  <w:r w:rsidRPr="00714B4D">
                    <w:rPr>
                      <w:rFonts w:eastAsia="Times New Roman" w:cs="Times New Roman"/>
                      <w:color w:val="000000"/>
                      <w:szCs w:val="24"/>
                    </w:rPr>
                    <w:t>P.O. Box 549</w:t>
                  </w:r>
                </w:p>
              </w:tc>
            </w:tr>
            <w:tr w:rsidR="001E6D98" w:rsidRPr="00714B4D" w:rsidTr="00A837D3">
              <w:trPr>
                <w:trHeight w:val="315"/>
              </w:trPr>
              <w:tc>
                <w:tcPr>
                  <w:tcW w:w="5600" w:type="dxa"/>
                  <w:tcBorders>
                    <w:top w:val="nil"/>
                    <w:left w:val="nil"/>
                    <w:bottom w:val="nil"/>
                    <w:right w:val="nil"/>
                  </w:tcBorders>
                  <w:shd w:val="clear" w:color="auto" w:fill="auto"/>
                  <w:noWrap/>
                  <w:vAlign w:val="bottom"/>
                  <w:hideMark/>
                </w:tcPr>
                <w:p w:rsidR="001E6D98" w:rsidRPr="00714B4D" w:rsidRDefault="001E6D98" w:rsidP="001E6D98">
                  <w:pPr>
                    <w:spacing w:after="0"/>
                    <w:contextualSpacing w:val="0"/>
                    <w:rPr>
                      <w:rFonts w:eastAsia="Times New Roman" w:cs="Times New Roman"/>
                      <w:color w:val="000000"/>
                      <w:szCs w:val="24"/>
                    </w:rPr>
                  </w:pPr>
                  <w:r w:rsidRPr="00714B4D">
                    <w:rPr>
                      <w:rFonts w:eastAsia="Times New Roman" w:cs="Times New Roman"/>
                      <w:color w:val="000000"/>
                      <w:szCs w:val="24"/>
                    </w:rPr>
                    <w:t>Salyersville, KY 41465</w:t>
                  </w:r>
                </w:p>
              </w:tc>
            </w:tr>
            <w:tr w:rsidR="001E6D98" w:rsidRPr="00714B4D" w:rsidTr="00A837D3">
              <w:trPr>
                <w:trHeight w:val="315"/>
              </w:trPr>
              <w:tc>
                <w:tcPr>
                  <w:tcW w:w="5600" w:type="dxa"/>
                  <w:tcBorders>
                    <w:top w:val="nil"/>
                    <w:left w:val="nil"/>
                    <w:bottom w:val="nil"/>
                    <w:right w:val="nil"/>
                  </w:tcBorders>
                  <w:shd w:val="clear" w:color="auto" w:fill="auto"/>
                  <w:noWrap/>
                  <w:vAlign w:val="bottom"/>
                  <w:hideMark/>
                </w:tcPr>
                <w:p w:rsidR="00113586" w:rsidRDefault="00113586" w:rsidP="001E6D98">
                  <w:pPr>
                    <w:spacing w:after="0"/>
                    <w:contextualSpacing w:val="0"/>
                    <w:rPr>
                      <w:rFonts w:eastAsia="Times New Roman" w:cs="Times New Roman"/>
                      <w:color w:val="000000"/>
                      <w:szCs w:val="24"/>
                    </w:rPr>
                  </w:pPr>
                </w:p>
                <w:p w:rsidR="00D87FFC" w:rsidRDefault="00D87FFC" w:rsidP="001E6D98">
                  <w:pPr>
                    <w:spacing w:after="0"/>
                    <w:contextualSpacing w:val="0"/>
                    <w:rPr>
                      <w:rFonts w:eastAsia="Times New Roman" w:cs="Times New Roman"/>
                      <w:color w:val="000000"/>
                      <w:szCs w:val="24"/>
                    </w:rPr>
                  </w:pPr>
                  <w:r>
                    <w:rPr>
                      <w:rFonts w:eastAsia="Times New Roman" w:cs="Times New Roman"/>
                      <w:color w:val="000000"/>
                      <w:szCs w:val="24"/>
                    </w:rPr>
                    <w:t xml:space="preserve">RELIANCE LABORATORIES </w:t>
                  </w:r>
                </w:p>
                <w:p w:rsidR="00D87FFC" w:rsidRDefault="00D87FFC" w:rsidP="00D87FFC">
                  <w:pPr>
                    <w:pStyle w:val="NoSpacing"/>
                  </w:pPr>
                  <w:r>
                    <w:t>P.O. Box 4657</w:t>
                  </w:r>
                </w:p>
                <w:p w:rsidR="00D87FFC" w:rsidRPr="00D87FFC" w:rsidRDefault="00D87FFC" w:rsidP="00D87FFC">
                  <w:pPr>
                    <w:pStyle w:val="NoSpacing"/>
                  </w:pPr>
                  <w:r>
                    <w:t>Bridgeport, WV  26330</w:t>
                  </w:r>
                </w:p>
                <w:p w:rsidR="00D87FFC" w:rsidRDefault="00D87FFC" w:rsidP="001E6D98">
                  <w:pPr>
                    <w:spacing w:after="0"/>
                    <w:contextualSpacing w:val="0"/>
                    <w:rPr>
                      <w:rFonts w:eastAsia="Times New Roman" w:cs="Times New Roman"/>
                      <w:color w:val="000000"/>
                      <w:szCs w:val="24"/>
                    </w:rPr>
                  </w:pPr>
                </w:p>
                <w:p w:rsidR="001E6D98" w:rsidRPr="00D87FFC" w:rsidRDefault="001E6D98" w:rsidP="001E6D98">
                  <w:pPr>
                    <w:spacing w:after="0"/>
                    <w:contextualSpacing w:val="0"/>
                    <w:rPr>
                      <w:rFonts w:eastAsia="Times New Roman" w:cs="Times New Roman"/>
                      <w:color w:val="000000"/>
                      <w:szCs w:val="24"/>
                    </w:rPr>
                  </w:pPr>
                  <w:r w:rsidRPr="00D87FFC">
                    <w:rPr>
                      <w:rFonts w:eastAsia="Times New Roman" w:cs="Times New Roman"/>
                      <w:color w:val="000000"/>
                      <w:szCs w:val="24"/>
                    </w:rPr>
                    <w:t>REI CONSULTANTS, INC.</w:t>
                  </w:r>
                </w:p>
              </w:tc>
            </w:tr>
            <w:tr w:rsidR="001E6D98" w:rsidRPr="00714B4D" w:rsidTr="00A837D3">
              <w:trPr>
                <w:trHeight w:val="315"/>
              </w:trPr>
              <w:tc>
                <w:tcPr>
                  <w:tcW w:w="5600" w:type="dxa"/>
                  <w:tcBorders>
                    <w:top w:val="nil"/>
                    <w:left w:val="nil"/>
                    <w:bottom w:val="nil"/>
                    <w:right w:val="nil"/>
                  </w:tcBorders>
                  <w:shd w:val="clear" w:color="auto" w:fill="auto"/>
                  <w:noWrap/>
                  <w:vAlign w:val="bottom"/>
                  <w:hideMark/>
                </w:tcPr>
                <w:p w:rsidR="001E6D98" w:rsidRPr="00714B4D" w:rsidRDefault="001E6D98" w:rsidP="001E6D98">
                  <w:pPr>
                    <w:spacing w:after="0"/>
                    <w:contextualSpacing w:val="0"/>
                    <w:rPr>
                      <w:rFonts w:eastAsia="Times New Roman" w:cs="Times New Roman"/>
                      <w:color w:val="000000"/>
                      <w:szCs w:val="24"/>
                    </w:rPr>
                  </w:pPr>
                  <w:r w:rsidRPr="00714B4D">
                    <w:rPr>
                      <w:rFonts w:eastAsia="Times New Roman" w:cs="Times New Roman"/>
                      <w:color w:val="000000"/>
                      <w:szCs w:val="24"/>
                    </w:rPr>
                    <w:t>P.O. Box 286</w:t>
                  </w:r>
                </w:p>
              </w:tc>
            </w:tr>
            <w:tr w:rsidR="001E6D98" w:rsidRPr="00714B4D" w:rsidTr="00A837D3">
              <w:trPr>
                <w:trHeight w:val="315"/>
              </w:trPr>
              <w:tc>
                <w:tcPr>
                  <w:tcW w:w="5600" w:type="dxa"/>
                  <w:tcBorders>
                    <w:top w:val="nil"/>
                    <w:left w:val="nil"/>
                    <w:bottom w:val="nil"/>
                    <w:right w:val="nil"/>
                  </w:tcBorders>
                  <w:shd w:val="clear" w:color="auto" w:fill="auto"/>
                  <w:noWrap/>
                  <w:vAlign w:val="bottom"/>
                  <w:hideMark/>
                </w:tcPr>
                <w:p w:rsidR="001E6D98" w:rsidRPr="00714B4D" w:rsidRDefault="001E6D98" w:rsidP="001E6D98">
                  <w:pPr>
                    <w:spacing w:after="0"/>
                    <w:contextualSpacing w:val="0"/>
                    <w:rPr>
                      <w:rFonts w:eastAsia="Times New Roman" w:cs="Times New Roman"/>
                      <w:color w:val="000000"/>
                      <w:szCs w:val="24"/>
                    </w:rPr>
                  </w:pPr>
                  <w:r w:rsidRPr="00714B4D">
                    <w:rPr>
                      <w:rFonts w:eastAsia="Times New Roman" w:cs="Times New Roman"/>
                      <w:color w:val="000000"/>
                      <w:szCs w:val="24"/>
                    </w:rPr>
                    <w:t>Beaver, WV 25813</w:t>
                  </w:r>
                </w:p>
              </w:tc>
            </w:tr>
            <w:tr w:rsidR="001E6D98" w:rsidRPr="00714B4D" w:rsidTr="00A837D3">
              <w:trPr>
                <w:trHeight w:val="315"/>
              </w:trPr>
              <w:tc>
                <w:tcPr>
                  <w:tcW w:w="5600" w:type="dxa"/>
                  <w:tcBorders>
                    <w:top w:val="nil"/>
                    <w:left w:val="nil"/>
                    <w:bottom w:val="nil"/>
                    <w:right w:val="nil"/>
                  </w:tcBorders>
                  <w:shd w:val="clear" w:color="auto" w:fill="auto"/>
                  <w:noWrap/>
                  <w:vAlign w:val="bottom"/>
                  <w:hideMark/>
                </w:tcPr>
                <w:p w:rsidR="00867DA4" w:rsidRDefault="00867DA4" w:rsidP="001E6D98">
                  <w:pPr>
                    <w:spacing w:after="0"/>
                    <w:contextualSpacing w:val="0"/>
                    <w:rPr>
                      <w:rFonts w:eastAsia="Times New Roman" w:cs="Times New Roman"/>
                      <w:szCs w:val="24"/>
                    </w:rPr>
                  </w:pPr>
                </w:p>
                <w:p w:rsidR="001E6D98" w:rsidRPr="00714B4D" w:rsidRDefault="001E6D98" w:rsidP="001E6D98">
                  <w:pPr>
                    <w:spacing w:after="0"/>
                    <w:contextualSpacing w:val="0"/>
                    <w:rPr>
                      <w:rFonts w:eastAsia="Times New Roman" w:cs="Times New Roman"/>
                      <w:szCs w:val="24"/>
                    </w:rPr>
                  </w:pPr>
                  <w:r w:rsidRPr="00714B4D">
                    <w:rPr>
                      <w:rFonts w:eastAsia="Times New Roman" w:cs="Times New Roman"/>
                      <w:szCs w:val="24"/>
                    </w:rPr>
                    <w:t>SGS NORTH AMERICA, INC.,</w:t>
                  </w:r>
                </w:p>
              </w:tc>
            </w:tr>
            <w:tr w:rsidR="001E6D98" w:rsidRPr="00714B4D" w:rsidTr="00A837D3">
              <w:trPr>
                <w:trHeight w:val="315"/>
              </w:trPr>
              <w:tc>
                <w:tcPr>
                  <w:tcW w:w="5600" w:type="dxa"/>
                  <w:tcBorders>
                    <w:top w:val="nil"/>
                    <w:left w:val="nil"/>
                    <w:bottom w:val="nil"/>
                    <w:right w:val="nil"/>
                  </w:tcBorders>
                  <w:shd w:val="clear" w:color="auto" w:fill="auto"/>
                  <w:noWrap/>
                  <w:vAlign w:val="bottom"/>
                  <w:hideMark/>
                </w:tcPr>
                <w:p w:rsidR="001E6D98" w:rsidRPr="00714B4D" w:rsidRDefault="001E6D98" w:rsidP="001E6D98">
                  <w:pPr>
                    <w:spacing w:after="0"/>
                    <w:contextualSpacing w:val="0"/>
                    <w:rPr>
                      <w:rFonts w:eastAsia="Times New Roman" w:cs="Times New Roman"/>
                      <w:szCs w:val="24"/>
                    </w:rPr>
                  </w:pPr>
                  <w:r w:rsidRPr="00714B4D">
                    <w:rPr>
                      <w:rFonts w:eastAsia="Times New Roman" w:cs="Times New Roman"/>
                      <w:szCs w:val="24"/>
                    </w:rPr>
                    <w:t>MINERAL SERVICES DIVISION-SOPHIA</w:t>
                  </w:r>
                </w:p>
              </w:tc>
            </w:tr>
            <w:tr w:rsidR="001E6D98" w:rsidRPr="00714B4D" w:rsidTr="00A837D3">
              <w:trPr>
                <w:trHeight w:val="315"/>
              </w:trPr>
              <w:tc>
                <w:tcPr>
                  <w:tcW w:w="5600" w:type="dxa"/>
                  <w:tcBorders>
                    <w:top w:val="nil"/>
                    <w:left w:val="nil"/>
                    <w:bottom w:val="nil"/>
                    <w:right w:val="nil"/>
                  </w:tcBorders>
                  <w:shd w:val="clear" w:color="auto" w:fill="auto"/>
                  <w:noWrap/>
                  <w:vAlign w:val="bottom"/>
                  <w:hideMark/>
                </w:tcPr>
                <w:p w:rsidR="001E6D98" w:rsidRPr="00714B4D" w:rsidRDefault="001E6D98" w:rsidP="001E6D98">
                  <w:pPr>
                    <w:spacing w:after="0"/>
                    <w:contextualSpacing w:val="0"/>
                    <w:rPr>
                      <w:rFonts w:eastAsia="Times New Roman" w:cs="Times New Roman"/>
                      <w:szCs w:val="24"/>
                    </w:rPr>
                  </w:pPr>
                  <w:r w:rsidRPr="00714B4D">
                    <w:rPr>
                      <w:rFonts w:eastAsia="Times New Roman" w:cs="Times New Roman"/>
                      <w:szCs w:val="24"/>
                    </w:rPr>
                    <w:t>P.O. Box 850</w:t>
                  </w:r>
                </w:p>
              </w:tc>
            </w:tr>
            <w:tr w:rsidR="001E6D98" w:rsidRPr="00714B4D" w:rsidTr="00A837D3">
              <w:trPr>
                <w:trHeight w:val="315"/>
              </w:trPr>
              <w:tc>
                <w:tcPr>
                  <w:tcW w:w="5600" w:type="dxa"/>
                  <w:tcBorders>
                    <w:top w:val="nil"/>
                    <w:left w:val="nil"/>
                    <w:bottom w:val="nil"/>
                    <w:right w:val="nil"/>
                  </w:tcBorders>
                  <w:shd w:val="clear" w:color="auto" w:fill="auto"/>
                  <w:noWrap/>
                  <w:vAlign w:val="bottom"/>
                  <w:hideMark/>
                </w:tcPr>
                <w:p w:rsidR="001E6D98" w:rsidRPr="00714B4D" w:rsidRDefault="001E6D98" w:rsidP="001E6D98">
                  <w:pPr>
                    <w:spacing w:after="0"/>
                    <w:contextualSpacing w:val="0"/>
                    <w:rPr>
                      <w:rFonts w:eastAsia="Times New Roman" w:cs="Times New Roman"/>
                      <w:szCs w:val="24"/>
                    </w:rPr>
                  </w:pPr>
                  <w:r w:rsidRPr="00714B4D">
                    <w:rPr>
                      <w:rFonts w:eastAsia="Times New Roman" w:cs="Times New Roman"/>
                      <w:szCs w:val="24"/>
                    </w:rPr>
                    <w:t>Sophia, WV 25921</w:t>
                  </w:r>
                </w:p>
              </w:tc>
            </w:tr>
          </w:tbl>
          <w:p w:rsidR="001E6D98" w:rsidRDefault="001E6D98" w:rsidP="001E6D98">
            <w:pPr>
              <w:spacing w:after="0"/>
              <w:contextualSpacing w:val="0"/>
              <w:rPr>
                <w:rFonts w:eastAsia="Times New Roman" w:cs="Times New Roman"/>
                <w:szCs w:val="24"/>
              </w:rPr>
            </w:pPr>
          </w:p>
          <w:tbl>
            <w:tblPr>
              <w:tblW w:w="5600" w:type="dxa"/>
              <w:tblLook w:val="04A0"/>
            </w:tblPr>
            <w:tblGrid>
              <w:gridCol w:w="5600"/>
            </w:tblGrid>
            <w:tr w:rsidR="001E6D98" w:rsidRPr="00714B4D" w:rsidTr="00A837D3">
              <w:trPr>
                <w:trHeight w:val="315"/>
              </w:trPr>
              <w:tc>
                <w:tcPr>
                  <w:tcW w:w="5600" w:type="dxa"/>
                  <w:tcBorders>
                    <w:top w:val="nil"/>
                    <w:left w:val="nil"/>
                    <w:bottom w:val="nil"/>
                    <w:right w:val="nil"/>
                  </w:tcBorders>
                  <w:shd w:val="clear" w:color="auto" w:fill="auto"/>
                  <w:noWrap/>
                  <w:vAlign w:val="bottom"/>
                  <w:hideMark/>
                </w:tcPr>
                <w:p w:rsidR="001E6D98" w:rsidRPr="00714B4D" w:rsidRDefault="001E6D98" w:rsidP="001E6D98">
                  <w:pPr>
                    <w:spacing w:after="0"/>
                    <w:contextualSpacing w:val="0"/>
                    <w:rPr>
                      <w:rFonts w:eastAsia="Times New Roman" w:cs="Times New Roman"/>
                      <w:color w:val="000000"/>
                      <w:szCs w:val="24"/>
                    </w:rPr>
                  </w:pPr>
                  <w:r w:rsidRPr="00714B4D">
                    <w:rPr>
                      <w:rFonts w:eastAsia="Times New Roman" w:cs="Times New Roman"/>
                      <w:color w:val="000000"/>
                      <w:szCs w:val="24"/>
                    </w:rPr>
                    <w:t>STANDARD LABORATORIES</w:t>
                  </w:r>
                </w:p>
              </w:tc>
            </w:tr>
            <w:tr w:rsidR="001E6D98" w:rsidRPr="00714B4D" w:rsidTr="00A837D3">
              <w:trPr>
                <w:trHeight w:val="375"/>
              </w:trPr>
              <w:tc>
                <w:tcPr>
                  <w:tcW w:w="5600" w:type="dxa"/>
                  <w:tcBorders>
                    <w:top w:val="nil"/>
                    <w:left w:val="nil"/>
                    <w:bottom w:val="nil"/>
                    <w:right w:val="nil"/>
                  </w:tcBorders>
                  <w:shd w:val="clear" w:color="auto" w:fill="auto"/>
                  <w:noWrap/>
                  <w:vAlign w:val="bottom"/>
                  <w:hideMark/>
                </w:tcPr>
                <w:p w:rsidR="001E6D98" w:rsidRPr="00714B4D" w:rsidRDefault="001E6D98" w:rsidP="001E6D98">
                  <w:pPr>
                    <w:spacing w:after="0"/>
                    <w:contextualSpacing w:val="0"/>
                    <w:rPr>
                      <w:rFonts w:eastAsia="Times New Roman" w:cs="Times New Roman"/>
                      <w:color w:val="000000"/>
                      <w:szCs w:val="24"/>
                    </w:rPr>
                  </w:pPr>
                  <w:r w:rsidRPr="00714B4D">
                    <w:rPr>
                      <w:rFonts w:eastAsia="Times New Roman" w:cs="Times New Roman"/>
                      <w:color w:val="000000"/>
                      <w:szCs w:val="24"/>
                    </w:rPr>
                    <w:t>147 11</w:t>
                  </w:r>
                  <w:r w:rsidRPr="00714B4D">
                    <w:rPr>
                      <w:rFonts w:eastAsia="Times New Roman" w:cs="Times New Roman"/>
                      <w:color w:val="000000"/>
                      <w:szCs w:val="24"/>
                      <w:vertAlign w:val="superscript"/>
                    </w:rPr>
                    <w:t>th</w:t>
                  </w:r>
                  <w:r w:rsidRPr="00714B4D">
                    <w:rPr>
                      <w:rFonts w:eastAsia="Times New Roman" w:cs="Times New Roman"/>
                      <w:color w:val="000000"/>
                      <w:szCs w:val="24"/>
                    </w:rPr>
                    <w:t xml:space="preserve"> Avenue</w:t>
                  </w:r>
                </w:p>
              </w:tc>
            </w:tr>
            <w:tr w:rsidR="001E6D98" w:rsidRPr="00714B4D" w:rsidTr="00A837D3">
              <w:trPr>
                <w:trHeight w:val="315"/>
              </w:trPr>
              <w:tc>
                <w:tcPr>
                  <w:tcW w:w="5600" w:type="dxa"/>
                  <w:tcBorders>
                    <w:top w:val="nil"/>
                    <w:left w:val="nil"/>
                    <w:bottom w:val="nil"/>
                    <w:right w:val="nil"/>
                  </w:tcBorders>
                  <w:shd w:val="clear" w:color="auto" w:fill="auto"/>
                  <w:noWrap/>
                  <w:vAlign w:val="bottom"/>
                  <w:hideMark/>
                </w:tcPr>
                <w:p w:rsidR="001E6D98" w:rsidRPr="00714B4D" w:rsidRDefault="001E6D98" w:rsidP="001E6D98">
                  <w:pPr>
                    <w:spacing w:after="0"/>
                    <w:contextualSpacing w:val="0"/>
                    <w:rPr>
                      <w:rFonts w:eastAsia="Times New Roman" w:cs="Times New Roman"/>
                      <w:color w:val="000000"/>
                      <w:szCs w:val="24"/>
                    </w:rPr>
                  </w:pPr>
                  <w:r w:rsidRPr="00714B4D">
                    <w:rPr>
                      <w:rFonts w:eastAsia="Times New Roman" w:cs="Times New Roman"/>
                      <w:color w:val="000000"/>
                      <w:szCs w:val="24"/>
                    </w:rPr>
                    <w:t>South Charleston, WV      25303</w:t>
                  </w:r>
                </w:p>
              </w:tc>
            </w:tr>
          </w:tbl>
          <w:p w:rsidR="001E6D98" w:rsidRDefault="001E6D98" w:rsidP="001E6D98">
            <w:pPr>
              <w:spacing w:after="0"/>
              <w:contextualSpacing w:val="0"/>
              <w:rPr>
                <w:rFonts w:eastAsia="Times New Roman" w:cs="Times New Roman"/>
                <w:szCs w:val="24"/>
              </w:rPr>
            </w:pPr>
          </w:p>
          <w:tbl>
            <w:tblPr>
              <w:tblW w:w="5600" w:type="dxa"/>
              <w:tblLook w:val="04A0"/>
            </w:tblPr>
            <w:tblGrid>
              <w:gridCol w:w="5600"/>
            </w:tblGrid>
            <w:tr w:rsidR="001E6D98" w:rsidRPr="00714B4D" w:rsidTr="00A837D3">
              <w:trPr>
                <w:trHeight w:val="315"/>
              </w:trPr>
              <w:tc>
                <w:tcPr>
                  <w:tcW w:w="5600" w:type="dxa"/>
                  <w:tcBorders>
                    <w:top w:val="nil"/>
                    <w:left w:val="nil"/>
                    <w:bottom w:val="nil"/>
                    <w:right w:val="nil"/>
                  </w:tcBorders>
                  <w:shd w:val="clear" w:color="auto" w:fill="auto"/>
                  <w:noWrap/>
                  <w:vAlign w:val="bottom"/>
                  <w:hideMark/>
                </w:tcPr>
                <w:p w:rsidR="001E6D98" w:rsidRPr="00714B4D" w:rsidRDefault="001E6D98" w:rsidP="001E6D98">
                  <w:pPr>
                    <w:spacing w:after="0"/>
                    <w:contextualSpacing w:val="0"/>
                    <w:rPr>
                      <w:rFonts w:eastAsia="Times New Roman" w:cs="Times New Roman"/>
                      <w:color w:val="000000"/>
                      <w:szCs w:val="24"/>
                    </w:rPr>
                  </w:pPr>
                  <w:r w:rsidRPr="00714B4D">
                    <w:rPr>
                      <w:rFonts w:eastAsia="Times New Roman" w:cs="Times New Roman"/>
                      <w:color w:val="000000"/>
                      <w:szCs w:val="24"/>
                    </w:rPr>
                    <w:t>STANDARD LABORATORIES, INC.</w:t>
                  </w:r>
                </w:p>
              </w:tc>
            </w:tr>
            <w:tr w:rsidR="001E6D98" w:rsidRPr="00714B4D" w:rsidTr="00A837D3">
              <w:trPr>
                <w:trHeight w:val="315"/>
              </w:trPr>
              <w:tc>
                <w:tcPr>
                  <w:tcW w:w="5600" w:type="dxa"/>
                  <w:tcBorders>
                    <w:top w:val="nil"/>
                    <w:left w:val="nil"/>
                    <w:bottom w:val="nil"/>
                    <w:right w:val="nil"/>
                  </w:tcBorders>
                  <w:shd w:val="clear" w:color="auto" w:fill="auto"/>
                  <w:noWrap/>
                  <w:vAlign w:val="bottom"/>
                  <w:hideMark/>
                </w:tcPr>
                <w:p w:rsidR="001E6D98" w:rsidRPr="00714B4D" w:rsidRDefault="001E6D98" w:rsidP="001E6D98">
                  <w:pPr>
                    <w:spacing w:after="0"/>
                    <w:contextualSpacing w:val="0"/>
                    <w:rPr>
                      <w:rFonts w:eastAsia="Times New Roman" w:cs="Times New Roman"/>
                      <w:color w:val="000000"/>
                      <w:szCs w:val="24"/>
                    </w:rPr>
                  </w:pPr>
                  <w:r w:rsidRPr="00714B4D">
                    <w:rPr>
                      <w:rFonts w:eastAsia="Times New Roman" w:cs="Times New Roman"/>
                      <w:color w:val="000000"/>
                      <w:szCs w:val="24"/>
                    </w:rPr>
                    <w:t>8451 River King Drive</w:t>
                  </w:r>
                </w:p>
              </w:tc>
            </w:tr>
            <w:tr w:rsidR="001E6D98" w:rsidRPr="00714B4D" w:rsidTr="00A837D3">
              <w:trPr>
                <w:trHeight w:val="315"/>
              </w:trPr>
              <w:tc>
                <w:tcPr>
                  <w:tcW w:w="5600" w:type="dxa"/>
                  <w:tcBorders>
                    <w:top w:val="nil"/>
                    <w:left w:val="nil"/>
                    <w:bottom w:val="nil"/>
                    <w:right w:val="nil"/>
                  </w:tcBorders>
                  <w:shd w:val="clear" w:color="auto" w:fill="auto"/>
                  <w:noWrap/>
                  <w:vAlign w:val="bottom"/>
                  <w:hideMark/>
                </w:tcPr>
                <w:p w:rsidR="001E6D98" w:rsidRPr="00714B4D" w:rsidRDefault="001E6D98" w:rsidP="001E6D98">
                  <w:pPr>
                    <w:spacing w:after="0"/>
                    <w:contextualSpacing w:val="0"/>
                    <w:rPr>
                      <w:rFonts w:eastAsia="Times New Roman" w:cs="Times New Roman"/>
                      <w:color w:val="000000"/>
                      <w:szCs w:val="24"/>
                    </w:rPr>
                  </w:pPr>
                  <w:r w:rsidRPr="00714B4D">
                    <w:rPr>
                      <w:rFonts w:eastAsia="Times New Roman" w:cs="Times New Roman"/>
                      <w:color w:val="000000"/>
                      <w:szCs w:val="24"/>
                    </w:rPr>
                    <w:t>Freeburg, IL 62243</w:t>
                  </w:r>
                </w:p>
              </w:tc>
            </w:tr>
          </w:tbl>
          <w:p w:rsidR="001E6D98" w:rsidRDefault="001E6D98" w:rsidP="001E6D98">
            <w:pPr>
              <w:spacing w:after="0"/>
              <w:contextualSpacing w:val="0"/>
              <w:rPr>
                <w:rFonts w:eastAsia="Times New Roman" w:cs="Times New Roman"/>
                <w:szCs w:val="24"/>
              </w:rPr>
            </w:pPr>
          </w:p>
          <w:tbl>
            <w:tblPr>
              <w:tblW w:w="5600" w:type="dxa"/>
              <w:tblLook w:val="04A0"/>
            </w:tblPr>
            <w:tblGrid>
              <w:gridCol w:w="5600"/>
            </w:tblGrid>
            <w:tr w:rsidR="001E6D98" w:rsidRPr="00714B4D" w:rsidTr="00A837D3">
              <w:trPr>
                <w:trHeight w:val="315"/>
              </w:trPr>
              <w:tc>
                <w:tcPr>
                  <w:tcW w:w="5600" w:type="dxa"/>
                  <w:tcBorders>
                    <w:top w:val="nil"/>
                    <w:left w:val="nil"/>
                    <w:bottom w:val="nil"/>
                    <w:right w:val="nil"/>
                  </w:tcBorders>
                  <w:shd w:val="clear" w:color="auto" w:fill="auto"/>
                  <w:noWrap/>
                  <w:vAlign w:val="bottom"/>
                  <w:hideMark/>
                </w:tcPr>
                <w:p w:rsidR="00113586" w:rsidRDefault="00113586" w:rsidP="001E6D98">
                  <w:pPr>
                    <w:spacing w:after="0"/>
                    <w:contextualSpacing w:val="0"/>
                    <w:rPr>
                      <w:rFonts w:eastAsia="Times New Roman" w:cs="Times New Roman"/>
                      <w:color w:val="000000"/>
                      <w:szCs w:val="24"/>
                    </w:rPr>
                  </w:pPr>
                </w:p>
                <w:p w:rsidR="001E6D98" w:rsidRPr="00714B4D" w:rsidRDefault="001E6D98" w:rsidP="001E6D98">
                  <w:pPr>
                    <w:spacing w:after="0"/>
                    <w:contextualSpacing w:val="0"/>
                    <w:rPr>
                      <w:rFonts w:eastAsia="Times New Roman" w:cs="Times New Roman"/>
                      <w:color w:val="000000"/>
                      <w:szCs w:val="24"/>
                    </w:rPr>
                  </w:pPr>
                  <w:r w:rsidRPr="00714B4D">
                    <w:rPr>
                      <w:rFonts w:eastAsia="Times New Roman" w:cs="Times New Roman"/>
                      <w:color w:val="000000"/>
                      <w:szCs w:val="24"/>
                    </w:rPr>
                    <w:lastRenderedPageBreak/>
                    <w:t xml:space="preserve">STANDARD LABORATORIES, INC </w:t>
                  </w:r>
                </w:p>
              </w:tc>
            </w:tr>
            <w:tr w:rsidR="001E6D98" w:rsidRPr="00714B4D" w:rsidTr="00A837D3">
              <w:trPr>
                <w:trHeight w:val="315"/>
              </w:trPr>
              <w:tc>
                <w:tcPr>
                  <w:tcW w:w="5600" w:type="dxa"/>
                  <w:tcBorders>
                    <w:top w:val="nil"/>
                    <w:left w:val="nil"/>
                    <w:bottom w:val="nil"/>
                    <w:right w:val="nil"/>
                  </w:tcBorders>
                  <w:shd w:val="clear" w:color="auto" w:fill="auto"/>
                  <w:noWrap/>
                  <w:vAlign w:val="bottom"/>
                  <w:hideMark/>
                </w:tcPr>
                <w:p w:rsidR="001E6D98" w:rsidRPr="00714B4D" w:rsidRDefault="001E6D98" w:rsidP="001E6D98">
                  <w:pPr>
                    <w:spacing w:after="0"/>
                    <w:contextualSpacing w:val="0"/>
                    <w:rPr>
                      <w:rFonts w:eastAsia="Times New Roman" w:cs="Times New Roman"/>
                      <w:color w:val="000000"/>
                      <w:szCs w:val="24"/>
                    </w:rPr>
                  </w:pPr>
                  <w:r w:rsidRPr="00714B4D">
                    <w:rPr>
                      <w:rFonts w:eastAsia="Times New Roman" w:cs="Times New Roman"/>
                      <w:color w:val="000000"/>
                      <w:szCs w:val="24"/>
                    </w:rPr>
                    <w:lastRenderedPageBreak/>
                    <w:t>N.E.S.T. DIVISION</w:t>
                  </w:r>
                </w:p>
              </w:tc>
            </w:tr>
            <w:tr w:rsidR="001E6D98" w:rsidRPr="00714B4D" w:rsidTr="00A837D3">
              <w:trPr>
                <w:trHeight w:val="315"/>
              </w:trPr>
              <w:tc>
                <w:tcPr>
                  <w:tcW w:w="5600" w:type="dxa"/>
                  <w:tcBorders>
                    <w:top w:val="nil"/>
                    <w:left w:val="nil"/>
                    <w:bottom w:val="nil"/>
                    <w:right w:val="nil"/>
                  </w:tcBorders>
                  <w:shd w:val="clear" w:color="auto" w:fill="auto"/>
                  <w:noWrap/>
                  <w:vAlign w:val="bottom"/>
                  <w:hideMark/>
                </w:tcPr>
                <w:p w:rsidR="001E6D98" w:rsidRPr="00714B4D" w:rsidRDefault="001E6D98" w:rsidP="001E6D98">
                  <w:pPr>
                    <w:spacing w:after="0"/>
                    <w:contextualSpacing w:val="0"/>
                    <w:rPr>
                      <w:rFonts w:eastAsia="Times New Roman" w:cs="Times New Roman"/>
                      <w:color w:val="000000"/>
                      <w:szCs w:val="24"/>
                    </w:rPr>
                  </w:pPr>
                  <w:r w:rsidRPr="00714B4D">
                    <w:rPr>
                      <w:rFonts w:eastAsia="Times New Roman" w:cs="Times New Roman"/>
                      <w:color w:val="000000"/>
                      <w:szCs w:val="24"/>
                    </w:rPr>
                    <w:t>Rt. 2   Box 88C</w:t>
                  </w:r>
                </w:p>
              </w:tc>
            </w:tr>
            <w:tr w:rsidR="001E6D98" w:rsidRPr="00714B4D" w:rsidTr="00A837D3">
              <w:trPr>
                <w:trHeight w:val="315"/>
              </w:trPr>
              <w:tc>
                <w:tcPr>
                  <w:tcW w:w="5600" w:type="dxa"/>
                  <w:tcBorders>
                    <w:top w:val="nil"/>
                    <w:left w:val="nil"/>
                    <w:bottom w:val="nil"/>
                    <w:right w:val="nil"/>
                  </w:tcBorders>
                  <w:shd w:val="clear" w:color="auto" w:fill="auto"/>
                  <w:noWrap/>
                  <w:vAlign w:val="bottom"/>
                  <w:hideMark/>
                </w:tcPr>
                <w:p w:rsidR="001E6D98" w:rsidRPr="00714B4D" w:rsidRDefault="001E6D98" w:rsidP="001E6D98">
                  <w:pPr>
                    <w:spacing w:after="0"/>
                    <w:contextualSpacing w:val="0"/>
                    <w:rPr>
                      <w:rFonts w:eastAsia="Times New Roman" w:cs="Times New Roman"/>
                      <w:color w:val="000000"/>
                      <w:szCs w:val="24"/>
                    </w:rPr>
                  </w:pPr>
                  <w:r w:rsidRPr="00714B4D">
                    <w:rPr>
                      <w:rFonts w:eastAsia="Times New Roman" w:cs="Times New Roman"/>
                      <w:color w:val="000000"/>
                      <w:szCs w:val="24"/>
                    </w:rPr>
                    <w:t>Belington, WV 26250</w:t>
                  </w:r>
                </w:p>
              </w:tc>
            </w:tr>
          </w:tbl>
          <w:p w:rsidR="001E6D98" w:rsidRDefault="001E6D98" w:rsidP="001E6D98">
            <w:pPr>
              <w:spacing w:after="0"/>
              <w:contextualSpacing w:val="0"/>
              <w:rPr>
                <w:rFonts w:eastAsia="Times New Roman" w:cs="Times New Roman"/>
                <w:szCs w:val="24"/>
              </w:rPr>
            </w:pPr>
          </w:p>
          <w:tbl>
            <w:tblPr>
              <w:tblW w:w="5600" w:type="dxa"/>
              <w:tblLook w:val="04A0"/>
            </w:tblPr>
            <w:tblGrid>
              <w:gridCol w:w="5600"/>
            </w:tblGrid>
            <w:tr w:rsidR="001E6D98" w:rsidRPr="00714B4D" w:rsidTr="00A837D3">
              <w:trPr>
                <w:trHeight w:val="315"/>
              </w:trPr>
              <w:tc>
                <w:tcPr>
                  <w:tcW w:w="5600" w:type="dxa"/>
                  <w:tcBorders>
                    <w:top w:val="nil"/>
                    <w:left w:val="nil"/>
                    <w:bottom w:val="nil"/>
                    <w:right w:val="nil"/>
                  </w:tcBorders>
                  <w:shd w:val="clear" w:color="auto" w:fill="auto"/>
                  <w:noWrap/>
                  <w:vAlign w:val="bottom"/>
                  <w:hideMark/>
                </w:tcPr>
                <w:p w:rsidR="001E6D98" w:rsidRPr="00714B4D" w:rsidRDefault="001E6D98" w:rsidP="001E6D98">
                  <w:pPr>
                    <w:spacing w:after="0"/>
                    <w:contextualSpacing w:val="0"/>
                    <w:rPr>
                      <w:rFonts w:eastAsia="Times New Roman" w:cs="Times New Roman"/>
                      <w:color w:val="000000"/>
                      <w:szCs w:val="24"/>
                    </w:rPr>
                  </w:pPr>
                  <w:r w:rsidRPr="00714B4D">
                    <w:rPr>
                      <w:rFonts w:eastAsia="Times New Roman" w:cs="Times New Roman"/>
                      <w:color w:val="000000"/>
                      <w:szCs w:val="24"/>
                    </w:rPr>
                    <w:t>STURM ENVIRONMENTAL SERVICES</w:t>
                  </w:r>
                </w:p>
              </w:tc>
            </w:tr>
            <w:tr w:rsidR="001E6D98" w:rsidRPr="00714B4D" w:rsidTr="00A837D3">
              <w:trPr>
                <w:trHeight w:val="315"/>
              </w:trPr>
              <w:tc>
                <w:tcPr>
                  <w:tcW w:w="5600" w:type="dxa"/>
                  <w:tcBorders>
                    <w:top w:val="nil"/>
                    <w:left w:val="nil"/>
                    <w:bottom w:val="nil"/>
                    <w:right w:val="nil"/>
                  </w:tcBorders>
                  <w:shd w:val="clear" w:color="auto" w:fill="auto"/>
                  <w:noWrap/>
                  <w:vAlign w:val="bottom"/>
                  <w:hideMark/>
                </w:tcPr>
                <w:p w:rsidR="001E6D98" w:rsidRPr="00714B4D" w:rsidRDefault="001E6D98" w:rsidP="001E6D98">
                  <w:pPr>
                    <w:spacing w:after="0"/>
                    <w:contextualSpacing w:val="0"/>
                    <w:rPr>
                      <w:rFonts w:eastAsia="Times New Roman" w:cs="Times New Roman"/>
                      <w:color w:val="000000"/>
                      <w:szCs w:val="24"/>
                    </w:rPr>
                  </w:pPr>
                  <w:r w:rsidRPr="00714B4D">
                    <w:rPr>
                      <w:rFonts w:eastAsia="Times New Roman" w:cs="Times New Roman"/>
                      <w:color w:val="000000"/>
                      <w:szCs w:val="24"/>
                    </w:rPr>
                    <w:t xml:space="preserve">P.O. Box 650 </w:t>
                  </w:r>
                </w:p>
              </w:tc>
            </w:tr>
            <w:tr w:rsidR="001E6D98" w:rsidRPr="00714B4D" w:rsidTr="00A837D3">
              <w:trPr>
                <w:trHeight w:val="315"/>
              </w:trPr>
              <w:tc>
                <w:tcPr>
                  <w:tcW w:w="5600" w:type="dxa"/>
                  <w:tcBorders>
                    <w:top w:val="nil"/>
                    <w:left w:val="nil"/>
                    <w:bottom w:val="nil"/>
                    <w:right w:val="nil"/>
                  </w:tcBorders>
                  <w:shd w:val="clear" w:color="auto" w:fill="auto"/>
                  <w:noWrap/>
                  <w:vAlign w:val="bottom"/>
                  <w:hideMark/>
                </w:tcPr>
                <w:p w:rsidR="001E6D98" w:rsidRPr="00714B4D" w:rsidRDefault="001E6D98" w:rsidP="001E6D98">
                  <w:pPr>
                    <w:spacing w:after="0"/>
                    <w:contextualSpacing w:val="0"/>
                    <w:rPr>
                      <w:rFonts w:eastAsia="Times New Roman" w:cs="Times New Roman"/>
                      <w:color w:val="000000"/>
                      <w:szCs w:val="24"/>
                    </w:rPr>
                  </w:pPr>
                  <w:r w:rsidRPr="00714B4D">
                    <w:rPr>
                      <w:rFonts w:eastAsia="Times New Roman" w:cs="Times New Roman"/>
                      <w:color w:val="000000"/>
                      <w:szCs w:val="24"/>
                    </w:rPr>
                    <w:t>Bridgeport, WV      26330</w:t>
                  </w:r>
                </w:p>
              </w:tc>
            </w:tr>
          </w:tbl>
          <w:p w:rsidR="001E6D98" w:rsidRDefault="001E6D98" w:rsidP="001E6D98">
            <w:pPr>
              <w:spacing w:after="0"/>
              <w:contextualSpacing w:val="0"/>
              <w:rPr>
                <w:rFonts w:eastAsia="Times New Roman" w:cs="Times New Roman"/>
                <w:szCs w:val="24"/>
              </w:rPr>
            </w:pPr>
          </w:p>
          <w:tbl>
            <w:tblPr>
              <w:tblW w:w="5600" w:type="dxa"/>
              <w:tblLook w:val="04A0"/>
            </w:tblPr>
            <w:tblGrid>
              <w:gridCol w:w="5600"/>
            </w:tblGrid>
            <w:tr w:rsidR="001E6D98" w:rsidRPr="00714B4D" w:rsidTr="00A837D3">
              <w:trPr>
                <w:trHeight w:val="315"/>
              </w:trPr>
              <w:tc>
                <w:tcPr>
                  <w:tcW w:w="5600" w:type="dxa"/>
                  <w:tcBorders>
                    <w:top w:val="nil"/>
                    <w:left w:val="nil"/>
                    <w:bottom w:val="nil"/>
                    <w:right w:val="nil"/>
                  </w:tcBorders>
                  <w:shd w:val="clear" w:color="auto" w:fill="auto"/>
                  <w:noWrap/>
                  <w:vAlign w:val="bottom"/>
                  <w:hideMark/>
                </w:tcPr>
                <w:p w:rsidR="001E6D98" w:rsidRPr="00714B4D" w:rsidRDefault="001E6D98" w:rsidP="001E6D98">
                  <w:pPr>
                    <w:spacing w:after="0"/>
                    <w:contextualSpacing w:val="0"/>
                    <w:rPr>
                      <w:rFonts w:eastAsia="Times New Roman" w:cs="Times New Roman"/>
                      <w:color w:val="000000"/>
                      <w:szCs w:val="24"/>
                    </w:rPr>
                  </w:pPr>
                  <w:r w:rsidRPr="00714B4D">
                    <w:rPr>
                      <w:rFonts w:eastAsia="Times New Roman" w:cs="Times New Roman"/>
                      <w:color w:val="000000"/>
                      <w:szCs w:val="24"/>
                    </w:rPr>
                    <w:t>TRA-DET, INC.</w:t>
                  </w:r>
                </w:p>
              </w:tc>
            </w:tr>
            <w:tr w:rsidR="001E6D98" w:rsidRPr="00714B4D" w:rsidTr="00A837D3">
              <w:trPr>
                <w:trHeight w:val="315"/>
              </w:trPr>
              <w:tc>
                <w:tcPr>
                  <w:tcW w:w="5600" w:type="dxa"/>
                  <w:tcBorders>
                    <w:top w:val="nil"/>
                    <w:left w:val="nil"/>
                    <w:bottom w:val="nil"/>
                    <w:right w:val="nil"/>
                  </w:tcBorders>
                  <w:shd w:val="clear" w:color="auto" w:fill="auto"/>
                  <w:noWrap/>
                  <w:vAlign w:val="bottom"/>
                  <w:hideMark/>
                </w:tcPr>
                <w:p w:rsidR="001E6D98" w:rsidRPr="00714B4D" w:rsidRDefault="001E6D98" w:rsidP="001E6D98">
                  <w:pPr>
                    <w:spacing w:after="0"/>
                    <w:contextualSpacing w:val="0"/>
                    <w:rPr>
                      <w:rFonts w:eastAsia="Times New Roman" w:cs="Times New Roman"/>
                      <w:color w:val="000000"/>
                      <w:szCs w:val="24"/>
                    </w:rPr>
                  </w:pPr>
                  <w:r w:rsidRPr="00714B4D">
                    <w:rPr>
                      <w:rFonts w:eastAsia="Times New Roman" w:cs="Times New Roman"/>
                      <w:color w:val="000000"/>
                      <w:szCs w:val="24"/>
                    </w:rPr>
                    <w:t>P.O. Box 2019</w:t>
                  </w:r>
                </w:p>
              </w:tc>
            </w:tr>
            <w:tr w:rsidR="001E6D98" w:rsidRPr="00714B4D" w:rsidTr="00A837D3">
              <w:trPr>
                <w:trHeight w:val="315"/>
              </w:trPr>
              <w:tc>
                <w:tcPr>
                  <w:tcW w:w="5600" w:type="dxa"/>
                  <w:tcBorders>
                    <w:top w:val="nil"/>
                    <w:left w:val="nil"/>
                    <w:bottom w:val="nil"/>
                    <w:right w:val="nil"/>
                  </w:tcBorders>
                  <w:shd w:val="clear" w:color="auto" w:fill="auto"/>
                  <w:noWrap/>
                  <w:vAlign w:val="bottom"/>
                  <w:hideMark/>
                </w:tcPr>
                <w:p w:rsidR="001E6D98" w:rsidRPr="00714B4D" w:rsidRDefault="001E6D98" w:rsidP="001E6D98">
                  <w:pPr>
                    <w:spacing w:after="0"/>
                    <w:contextualSpacing w:val="0"/>
                    <w:rPr>
                      <w:rFonts w:eastAsia="Times New Roman" w:cs="Times New Roman"/>
                      <w:color w:val="000000"/>
                      <w:szCs w:val="24"/>
                    </w:rPr>
                  </w:pPr>
                  <w:r w:rsidRPr="00714B4D">
                    <w:rPr>
                      <w:rFonts w:eastAsia="Times New Roman" w:cs="Times New Roman"/>
                      <w:color w:val="000000"/>
                      <w:szCs w:val="24"/>
                    </w:rPr>
                    <w:t>Wheeling, WV 26003</w:t>
                  </w:r>
                </w:p>
              </w:tc>
            </w:tr>
          </w:tbl>
          <w:p w:rsidR="001E6D98" w:rsidRPr="000722C1" w:rsidRDefault="001E6D98" w:rsidP="001E6D98">
            <w:pPr>
              <w:spacing w:after="0"/>
              <w:contextualSpacing w:val="0"/>
              <w:rPr>
                <w:rFonts w:eastAsia="Times New Roman" w:cs="Times New Roman"/>
                <w:szCs w:val="24"/>
              </w:rPr>
            </w:pPr>
          </w:p>
        </w:tc>
      </w:tr>
    </w:tbl>
    <w:p w:rsidR="001E6D98" w:rsidRDefault="001E6D98" w:rsidP="00AF7A5F">
      <w:pPr>
        <w:pStyle w:val="NoSpacing"/>
      </w:pPr>
    </w:p>
    <w:p w:rsidR="00A837D3" w:rsidRPr="00D87FFC" w:rsidRDefault="00D87FFC" w:rsidP="00113586">
      <w:pPr>
        <w:pStyle w:val="NoSpacing"/>
        <w:spacing w:line="276" w:lineRule="auto"/>
      </w:pPr>
      <w:r>
        <w:t xml:space="preserve">As the study progressed the number of labs was reduced due to the constraints of a “double-blind” </w:t>
      </w:r>
      <w:r w:rsidR="004A6D05">
        <w:t>evaluation study.</w:t>
      </w:r>
    </w:p>
    <w:p w:rsidR="00A837D3" w:rsidRDefault="00A837D3" w:rsidP="00AF7A5F">
      <w:pPr>
        <w:pStyle w:val="NoSpacing"/>
        <w:rPr>
          <w:b/>
        </w:rPr>
      </w:pPr>
    </w:p>
    <w:p w:rsidR="00045C96" w:rsidRPr="00113586" w:rsidRDefault="00045C96" w:rsidP="00AF7A5F">
      <w:pPr>
        <w:pStyle w:val="NoSpacing"/>
        <w:rPr>
          <w:b/>
          <w:sz w:val="32"/>
          <w:szCs w:val="32"/>
        </w:rPr>
      </w:pPr>
      <w:r w:rsidRPr="00113586">
        <w:rPr>
          <w:b/>
          <w:sz w:val="32"/>
          <w:szCs w:val="32"/>
        </w:rPr>
        <w:t>Phase 1</w:t>
      </w:r>
    </w:p>
    <w:p w:rsidR="00A837D3" w:rsidRDefault="00A837D3" w:rsidP="00113586">
      <w:pPr>
        <w:spacing w:line="276" w:lineRule="auto"/>
      </w:pPr>
      <w:r>
        <w:t xml:space="preserve">Phase I consisted of a single-blind Proficiency Test (PT) sample being provided to the laboratory for analysis.  WV DEP solicited bids from Proficiency Test Providers approved by </w:t>
      </w:r>
      <w:hyperlink r:id="rId10" w:tgtFrame="_blank" w:history="1">
        <w:r w:rsidRPr="006F76E2">
          <w:rPr>
            <w:rStyle w:val="Hyperlink"/>
            <w:rFonts w:cs="Times New Roman"/>
            <w:szCs w:val="24"/>
          </w:rPr>
          <w:t>American Association for Laboratory Accreditation</w:t>
        </w:r>
      </w:hyperlink>
      <w:r>
        <w:rPr>
          <w:rFonts w:cs="Times New Roman"/>
          <w:szCs w:val="24"/>
        </w:rPr>
        <w:t>.  A list of the approved providers can be found at:</w:t>
      </w:r>
      <w:r>
        <w:rPr>
          <w:rFonts w:ascii="Arial" w:hAnsi="Arial" w:cs="Arial"/>
          <w:color w:val="333333"/>
          <w:sz w:val="18"/>
          <w:szCs w:val="18"/>
        </w:rPr>
        <w:t xml:space="preserve"> </w:t>
      </w:r>
      <w:r>
        <w:t xml:space="preserve"> </w:t>
      </w:r>
      <w:hyperlink r:id="rId11" w:history="1">
        <w:r w:rsidRPr="009D2D19">
          <w:rPr>
            <w:rStyle w:val="Hyperlink"/>
          </w:rPr>
          <w:t>http://www.nelac-institute.org/PT.php</w:t>
        </w:r>
      </w:hyperlink>
      <w:r>
        <w:t xml:space="preserve">.  The successful bidder was Environmental Resource Associates, Inc. (ERA).  </w:t>
      </w:r>
    </w:p>
    <w:p w:rsidR="00113586" w:rsidRDefault="00A837D3" w:rsidP="00113586">
      <w:pPr>
        <w:spacing w:line="276" w:lineRule="auto"/>
      </w:pPr>
      <w:r>
        <w:tab/>
        <w:t xml:space="preserve">The Phase I PT sample was custom prepared as a concentrate to be prepared at the laboratory by dilution to 1 liter producing a solution with a concentration of 5 µg/L.  ERA prepared the PT sample and shipped it to each lab with instructions on how to prepare the sample and supplemental instructions from WV DEP on how to analyze the sample and report the results.  </w:t>
      </w:r>
    </w:p>
    <w:p w:rsidR="00113586" w:rsidRDefault="00113586" w:rsidP="00113586">
      <w:pPr>
        <w:spacing w:line="276" w:lineRule="auto"/>
      </w:pPr>
    </w:p>
    <w:p w:rsidR="00113586" w:rsidRDefault="00113586" w:rsidP="00113586">
      <w:pPr>
        <w:spacing w:line="276" w:lineRule="auto"/>
      </w:pPr>
    </w:p>
    <w:p w:rsidR="00113586" w:rsidRDefault="00113586" w:rsidP="00113586">
      <w:pPr>
        <w:spacing w:line="276" w:lineRule="auto"/>
      </w:pPr>
    </w:p>
    <w:p w:rsidR="00113586" w:rsidRDefault="00113586" w:rsidP="00113586">
      <w:pPr>
        <w:spacing w:line="276" w:lineRule="auto"/>
      </w:pPr>
    </w:p>
    <w:p w:rsidR="00113586" w:rsidRDefault="00113586" w:rsidP="00113586">
      <w:pPr>
        <w:spacing w:line="276" w:lineRule="auto"/>
      </w:pPr>
    </w:p>
    <w:p w:rsidR="00113586" w:rsidRDefault="00113586" w:rsidP="00113586">
      <w:pPr>
        <w:spacing w:line="276" w:lineRule="auto"/>
      </w:pPr>
    </w:p>
    <w:p w:rsidR="00113586" w:rsidRDefault="00113586" w:rsidP="00113586">
      <w:pPr>
        <w:spacing w:line="276" w:lineRule="auto"/>
      </w:pPr>
    </w:p>
    <w:p w:rsidR="00113586" w:rsidRDefault="00113586" w:rsidP="00113586">
      <w:pPr>
        <w:spacing w:line="276" w:lineRule="auto"/>
      </w:pPr>
    </w:p>
    <w:p w:rsidR="00113586" w:rsidRDefault="00113586" w:rsidP="00113586">
      <w:pPr>
        <w:spacing w:line="276" w:lineRule="auto"/>
      </w:pPr>
    </w:p>
    <w:p w:rsidR="00113586" w:rsidRDefault="00113586" w:rsidP="00113586">
      <w:pPr>
        <w:spacing w:line="276" w:lineRule="auto"/>
      </w:pPr>
    </w:p>
    <w:p w:rsidR="00113586" w:rsidRDefault="00113586" w:rsidP="00113586">
      <w:pPr>
        <w:spacing w:line="276" w:lineRule="auto"/>
      </w:pPr>
    </w:p>
    <w:p w:rsidR="00113586" w:rsidRDefault="00113586" w:rsidP="00113586">
      <w:pPr>
        <w:spacing w:line="276" w:lineRule="auto"/>
      </w:pPr>
    </w:p>
    <w:p w:rsidR="00113586" w:rsidRDefault="00113586" w:rsidP="00113586">
      <w:pPr>
        <w:spacing w:line="276" w:lineRule="auto"/>
      </w:pPr>
    </w:p>
    <w:p w:rsidR="00113586" w:rsidRDefault="00113586" w:rsidP="00113586">
      <w:pPr>
        <w:spacing w:line="276" w:lineRule="auto"/>
      </w:pPr>
    </w:p>
    <w:p w:rsidR="00A837D3" w:rsidRDefault="00A837D3" w:rsidP="00113586">
      <w:pPr>
        <w:spacing w:line="276" w:lineRule="auto"/>
      </w:pPr>
      <w:r>
        <w:lastRenderedPageBreak/>
        <w:t>A summary of the Phase I results is depicted below.</w:t>
      </w:r>
    </w:p>
    <w:p w:rsidR="00A837D3" w:rsidRDefault="00A837D3" w:rsidP="00A837D3"/>
    <w:p w:rsidR="00630179" w:rsidRPr="006365D0" w:rsidRDefault="00630179" w:rsidP="00630179">
      <w:pPr>
        <w:rPr>
          <w:b/>
          <w:sz w:val="32"/>
          <w:szCs w:val="32"/>
        </w:rPr>
      </w:pPr>
      <w:r w:rsidRPr="006365D0">
        <w:rPr>
          <w:b/>
          <w:sz w:val="32"/>
          <w:szCs w:val="32"/>
        </w:rPr>
        <w:t>Table 1</w:t>
      </w:r>
    </w:p>
    <w:tbl>
      <w:tblPr>
        <w:tblW w:w="8804"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220"/>
        <w:gridCol w:w="2063"/>
        <w:gridCol w:w="1088"/>
        <w:gridCol w:w="946"/>
        <w:gridCol w:w="2487"/>
      </w:tblGrid>
      <w:tr w:rsidR="00436D1A" w:rsidRPr="00436D1A" w:rsidTr="00436D1A">
        <w:trPr>
          <w:trHeight w:val="315"/>
        </w:trPr>
        <w:tc>
          <w:tcPr>
            <w:tcW w:w="4283" w:type="dxa"/>
            <w:gridSpan w:val="2"/>
            <w:shd w:val="clear" w:color="auto" w:fill="auto"/>
            <w:noWrap/>
            <w:vAlign w:val="bottom"/>
            <w:hideMark/>
          </w:tcPr>
          <w:p w:rsidR="00436D1A" w:rsidRPr="00436D1A" w:rsidRDefault="00436D1A" w:rsidP="00436D1A">
            <w:pPr>
              <w:spacing w:after="0"/>
              <w:contextualSpacing w:val="0"/>
              <w:rPr>
                <w:rFonts w:eastAsia="Times New Roman" w:cs="Times New Roman"/>
                <w:b/>
                <w:bCs/>
                <w:szCs w:val="24"/>
              </w:rPr>
            </w:pPr>
            <w:r w:rsidRPr="00F4161B">
              <w:rPr>
                <w:b/>
                <w:bCs/>
                <w:sz w:val="32"/>
                <w:szCs w:val="32"/>
              </w:rPr>
              <w:t>Lab</w:t>
            </w:r>
            <w:r>
              <w:rPr>
                <w:b/>
                <w:bCs/>
                <w:sz w:val="32"/>
                <w:szCs w:val="32"/>
              </w:rPr>
              <w:t>oratory</w:t>
            </w:r>
          </w:p>
        </w:tc>
        <w:tc>
          <w:tcPr>
            <w:tcW w:w="1088" w:type="dxa"/>
            <w:shd w:val="clear" w:color="auto" w:fill="auto"/>
            <w:vAlign w:val="bottom"/>
            <w:hideMark/>
          </w:tcPr>
          <w:p w:rsidR="00436D1A" w:rsidRPr="00436D1A" w:rsidRDefault="00436D1A" w:rsidP="00436D1A">
            <w:pPr>
              <w:spacing w:after="0"/>
              <w:contextualSpacing w:val="0"/>
              <w:jc w:val="center"/>
              <w:rPr>
                <w:rFonts w:eastAsia="Times New Roman" w:cs="Times New Roman"/>
                <w:b/>
                <w:bCs/>
                <w:sz w:val="32"/>
                <w:szCs w:val="32"/>
              </w:rPr>
            </w:pPr>
            <w:r w:rsidRPr="00436D1A">
              <w:rPr>
                <w:rFonts w:eastAsia="Times New Roman" w:cs="Times New Roman"/>
                <w:b/>
                <w:bCs/>
                <w:sz w:val="32"/>
                <w:szCs w:val="32"/>
              </w:rPr>
              <w:t>Result</w:t>
            </w:r>
          </w:p>
        </w:tc>
        <w:tc>
          <w:tcPr>
            <w:tcW w:w="946"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b/>
                <w:bCs/>
                <w:sz w:val="32"/>
                <w:szCs w:val="32"/>
              </w:rPr>
            </w:pPr>
            <w:r w:rsidRPr="00436D1A">
              <w:rPr>
                <w:rFonts w:eastAsia="Times New Roman" w:cs="Times New Roman"/>
                <w:b/>
                <w:bCs/>
                <w:sz w:val="32"/>
                <w:szCs w:val="32"/>
              </w:rPr>
              <w:t>Units</w:t>
            </w:r>
          </w:p>
        </w:tc>
        <w:tc>
          <w:tcPr>
            <w:tcW w:w="2487"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b/>
                <w:bCs/>
                <w:sz w:val="32"/>
                <w:szCs w:val="32"/>
              </w:rPr>
            </w:pPr>
            <w:r w:rsidRPr="00436D1A">
              <w:rPr>
                <w:rFonts w:eastAsia="Times New Roman" w:cs="Times New Roman"/>
                <w:b/>
                <w:bCs/>
                <w:sz w:val="32"/>
                <w:szCs w:val="32"/>
              </w:rPr>
              <w:t>Instrument</w:t>
            </w:r>
          </w:p>
        </w:tc>
      </w:tr>
      <w:tr w:rsidR="00436D1A" w:rsidRPr="00436D1A" w:rsidTr="00436D1A">
        <w:trPr>
          <w:trHeight w:val="315"/>
        </w:trPr>
        <w:tc>
          <w:tcPr>
            <w:tcW w:w="4283" w:type="dxa"/>
            <w:gridSpan w:val="2"/>
            <w:shd w:val="clear" w:color="auto" w:fill="auto"/>
            <w:noWrap/>
            <w:vAlign w:val="bottom"/>
            <w:hideMark/>
          </w:tcPr>
          <w:p w:rsidR="00436D1A" w:rsidRPr="00436D1A" w:rsidRDefault="00436D1A" w:rsidP="00436D1A">
            <w:pPr>
              <w:spacing w:after="0"/>
              <w:contextualSpacing w:val="0"/>
              <w:rPr>
                <w:rFonts w:eastAsia="Times New Roman" w:cs="Times New Roman"/>
                <w:szCs w:val="24"/>
              </w:rPr>
            </w:pPr>
            <w:r w:rsidRPr="00436D1A">
              <w:rPr>
                <w:rFonts w:eastAsia="Times New Roman" w:cs="Times New Roman"/>
                <w:szCs w:val="24"/>
              </w:rPr>
              <w:t>Acculab, Inc.</w:t>
            </w:r>
          </w:p>
        </w:tc>
        <w:tc>
          <w:tcPr>
            <w:tcW w:w="1088"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4.7</w:t>
            </w:r>
          </w:p>
        </w:tc>
        <w:tc>
          <w:tcPr>
            <w:tcW w:w="946"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µg/L</w:t>
            </w:r>
          </w:p>
        </w:tc>
        <w:tc>
          <w:tcPr>
            <w:tcW w:w="2487"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GFAA</w:t>
            </w:r>
          </w:p>
        </w:tc>
      </w:tr>
      <w:tr w:rsidR="00436D1A" w:rsidRPr="00436D1A" w:rsidTr="00436D1A">
        <w:trPr>
          <w:trHeight w:val="315"/>
        </w:trPr>
        <w:tc>
          <w:tcPr>
            <w:tcW w:w="4283" w:type="dxa"/>
            <w:gridSpan w:val="2"/>
            <w:shd w:val="clear" w:color="auto" w:fill="auto"/>
            <w:noWrap/>
            <w:vAlign w:val="bottom"/>
            <w:hideMark/>
          </w:tcPr>
          <w:p w:rsidR="00436D1A" w:rsidRPr="00436D1A" w:rsidRDefault="00436D1A" w:rsidP="00436D1A">
            <w:pPr>
              <w:spacing w:after="0"/>
              <w:contextualSpacing w:val="0"/>
              <w:rPr>
                <w:rFonts w:eastAsia="Times New Roman" w:cs="Times New Roman"/>
                <w:szCs w:val="24"/>
              </w:rPr>
            </w:pPr>
            <w:r w:rsidRPr="00436D1A">
              <w:rPr>
                <w:rFonts w:eastAsia="Times New Roman" w:cs="Times New Roman"/>
                <w:szCs w:val="24"/>
              </w:rPr>
              <w:t>AEP – Dolan Chemical Laboratory</w:t>
            </w:r>
          </w:p>
        </w:tc>
        <w:tc>
          <w:tcPr>
            <w:tcW w:w="1088"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4.8</w:t>
            </w:r>
          </w:p>
        </w:tc>
        <w:tc>
          <w:tcPr>
            <w:tcW w:w="946"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µg/L</w:t>
            </w:r>
          </w:p>
        </w:tc>
        <w:tc>
          <w:tcPr>
            <w:tcW w:w="2487"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ICP-MS</w:t>
            </w:r>
          </w:p>
        </w:tc>
      </w:tr>
      <w:tr w:rsidR="00436D1A" w:rsidRPr="00436D1A" w:rsidTr="00436D1A">
        <w:trPr>
          <w:trHeight w:val="315"/>
        </w:trPr>
        <w:tc>
          <w:tcPr>
            <w:tcW w:w="4283" w:type="dxa"/>
            <w:gridSpan w:val="2"/>
            <w:shd w:val="clear" w:color="auto" w:fill="auto"/>
            <w:noWrap/>
            <w:vAlign w:val="bottom"/>
            <w:hideMark/>
          </w:tcPr>
          <w:p w:rsidR="00436D1A" w:rsidRPr="00436D1A" w:rsidRDefault="00436D1A" w:rsidP="00436D1A">
            <w:pPr>
              <w:spacing w:after="0"/>
              <w:contextualSpacing w:val="0"/>
              <w:rPr>
                <w:rFonts w:eastAsia="Times New Roman" w:cs="Times New Roman"/>
                <w:szCs w:val="24"/>
              </w:rPr>
            </w:pPr>
            <w:r w:rsidRPr="00436D1A">
              <w:rPr>
                <w:rFonts w:eastAsia="Times New Roman" w:cs="Times New Roman"/>
                <w:szCs w:val="24"/>
              </w:rPr>
              <w:t>Analabs, Inc.</w:t>
            </w:r>
          </w:p>
        </w:tc>
        <w:tc>
          <w:tcPr>
            <w:tcW w:w="1088"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5.32</w:t>
            </w:r>
          </w:p>
        </w:tc>
        <w:tc>
          <w:tcPr>
            <w:tcW w:w="946"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µg/L</w:t>
            </w:r>
          </w:p>
        </w:tc>
        <w:tc>
          <w:tcPr>
            <w:tcW w:w="2487"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ICP-MS</w:t>
            </w:r>
          </w:p>
        </w:tc>
      </w:tr>
      <w:tr w:rsidR="00436D1A" w:rsidRPr="00436D1A" w:rsidTr="00436D1A">
        <w:trPr>
          <w:trHeight w:val="315"/>
        </w:trPr>
        <w:tc>
          <w:tcPr>
            <w:tcW w:w="4283" w:type="dxa"/>
            <w:gridSpan w:val="2"/>
            <w:shd w:val="clear" w:color="auto" w:fill="auto"/>
            <w:noWrap/>
            <w:vAlign w:val="bottom"/>
            <w:hideMark/>
          </w:tcPr>
          <w:p w:rsidR="00436D1A" w:rsidRPr="00436D1A" w:rsidRDefault="00436D1A" w:rsidP="00436D1A">
            <w:pPr>
              <w:spacing w:after="0"/>
              <w:contextualSpacing w:val="0"/>
              <w:rPr>
                <w:rFonts w:eastAsia="Times New Roman" w:cs="Times New Roman"/>
                <w:szCs w:val="24"/>
              </w:rPr>
            </w:pPr>
            <w:r w:rsidRPr="00436D1A">
              <w:rPr>
                <w:rFonts w:eastAsia="Times New Roman" w:cs="Times New Roman"/>
                <w:szCs w:val="24"/>
              </w:rPr>
              <w:t>Appalachian Lab, Inc.</w:t>
            </w:r>
          </w:p>
        </w:tc>
        <w:tc>
          <w:tcPr>
            <w:tcW w:w="1088"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4.7</w:t>
            </w:r>
          </w:p>
        </w:tc>
        <w:tc>
          <w:tcPr>
            <w:tcW w:w="946"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µg/L</w:t>
            </w:r>
          </w:p>
        </w:tc>
        <w:tc>
          <w:tcPr>
            <w:tcW w:w="2487"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GFAA</w:t>
            </w:r>
          </w:p>
        </w:tc>
      </w:tr>
      <w:tr w:rsidR="00436D1A" w:rsidRPr="00436D1A" w:rsidTr="00436D1A">
        <w:trPr>
          <w:trHeight w:val="315"/>
        </w:trPr>
        <w:tc>
          <w:tcPr>
            <w:tcW w:w="4283" w:type="dxa"/>
            <w:gridSpan w:val="2"/>
            <w:shd w:val="clear" w:color="auto" w:fill="auto"/>
            <w:noWrap/>
            <w:vAlign w:val="bottom"/>
            <w:hideMark/>
          </w:tcPr>
          <w:p w:rsidR="00436D1A" w:rsidRPr="00436D1A" w:rsidRDefault="00436D1A" w:rsidP="00436D1A">
            <w:pPr>
              <w:spacing w:after="0"/>
              <w:contextualSpacing w:val="0"/>
              <w:rPr>
                <w:rFonts w:eastAsia="Times New Roman" w:cs="Times New Roman"/>
                <w:szCs w:val="24"/>
              </w:rPr>
            </w:pPr>
            <w:r w:rsidRPr="00436D1A">
              <w:rPr>
                <w:rFonts w:eastAsia="Times New Roman" w:cs="Times New Roman"/>
                <w:szCs w:val="24"/>
              </w:rPr>
              <w:t>Appalachian States Analytical, LLC</w:t>
            </w:r>
          </w:p>
        </w:tc>
        <w:tc>
          <w:tcPr>
            <w:tcW w:w="1088"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5.10</w:t>
            </w:r>
          </w:p>
        </w:tc>
        <w:tc>
          <w:tcPr>
            <w:tcW w:w="946"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µg/L</w:t>
            </w:r>
          </w:p>
        </w:tc>
        <w:tc>
          <w:tcPr>
            <w:tcW w:w="2487"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GFAA</w:t>
            </w:r>
          </w:p>
        </w:tc>
      </w:tr>
      <w:tr w:rsidR="00436D1A" w:rsidRPr="00436D1A" w:rsidTr="00436D1A">
        <w:trPr>
          <w:trHeight w:val="315"/>
        </w:trPr>
        <w:tc>
          <w:tcPr>
            <w:tcW w:w="4283" w:type="dxa"/>
            <w:gridSpan w:val="2"/>
            <w:shd w:val="clear" w:color="auto" w:fill="auto"/>
            <w:noWrap/>
            <w:vAlign w:val="bottom"/>
            <w:hideMark/>
          </w:tcPr>
          <w:p w:rsidR="00436D1A" w:rsidRPr="00436D1A" w:rsidRDefault="00436D1A" w:rsidP="00436D1A">
            <w:pPr>
              <w:spacing w:after="0"/>
              <w:contextualSpacing w:val="0"/>
              <w:rPr>
                <w:rFonts w:eastAsia="Times New Roman" w:cs="Times New Roman"/>
                <w:szCs w:val="24"/>
              </w:rPr>
            </w:pPr>
            <w:r w:rsidRPr="00436D1A">
              <w:rPr>
                <w:rFonts w:eastAsia="Times New Roman" w:cs="Times New Roman"/>
                <w:szCs w:val="24"/>
              </w:rPr>
              <w:t>Central Testing, Inc.</w:t>
            </w:r>
          </w:p>
        </w:tc>
        <w:tc>
          <w:tcPr>
            <w:tcW w:w="1088"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 </w:t>
            </w:r>
          </w:p>
        </w:tc>
        <w:tc>
          <w:tcPr>
            <w:tcW w:w="946"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µg/L</w:t>
            </w:r>
          </w:p>
        </w:tc>
        <w:tc>
          <w:tcPr>
            <w:tcW w:w="2487"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 </w:t>
            </w:r>
          </w:p>
        </w:tc>
      </w:tr>
      <w:tr w:rsidR="00436D1A" w:rsidRPr="00436D1A" w:rsidTr="00436D1A">
        <w:trPr>
          <w:trHeight w:val="315"/>
        </w:trPr>
        <w:tc>
          <w:tcPr>
            <w:tcW w:w="4283" w:type="dxa"/>
            <w:gridSpan w:val="2"/>
            <w:shd w:val="clear" w:color="auto" w:fill="auto"/>
            <w:noWrap/>
            <w:vAlign w:val="bottom"/>
            <w:hideMark/>
          </w:tcPr>
          <w:p w:rsidR="00436D1A" w:rsidRPr="00436D1A" w:rsidRDefault="00436D1A" w:rsidP="00436D1A">
            <w:pPr>
              <w:spacing w:after="0"/>
              <w:contextualSpacing w:val="0"/>
              <w:rPr>
                <w:rFonts w:eastAsia="Times New Roman" w:cs="Times New Roman"/>
                <w:szCs w:val="24"/>
              </w:rPr>
            </w:pPr>
            <w:r w:rsidRPr="00436D1A">
              <w:rPr>
                <w:rFonts w:eastAsia="Times New Roman" w:cs="Times New Roman"/>
                <w:szCs w:val="24"/>
              </w:rPr>
              <w:t>Compliance Monitoring Laboratories, Inc.</w:t>
            </w:r>
          </w:p>
        </w:tc>
        <w:tc>
          <w:tcPr>
            <w:tcW w:w="1088"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5.95</w:t>
            </w:r>
          </w:p>
        </w:tc>
        <w:tc>
          <w:tcPr>
            <w:tcW w:w="946"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µg/L</w:t>
            </w:r>
          </w:p>
        </w:tc>
        <w:tc>
          <w:tcPr>
            <w:tcW w:w="2487"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GFAA</w:t>
            </w:r>
          </w:p>
        </w:tc>
      </w:tr>
      <w:tr w:rsidR="00436D1A" w:rsidRPr="00436D1A" w:rsidTr="00436D1A">
        <w:trPr>
          <w:trHeight w:val="315"/>
        </w:trPr>
        <w:tc>
          <w:tcPr>
            <w:tcW w:w="4283" w:type="dxa"/>
            <w:gridSpan w:val="2"/>
            <w:shd w:val="clear" w:color="auto" w:fill="auto"/>
            <w:noWrap/>
            <w:vAlign w:val="bottom"/>
            <w:hideMark/>
          </w:tcPr>
          <w:p w:rsidR="00436D1A" w:rsidRPr="00436D1A" w:rsidRDefault="00436D1A" w:rsidP="00436D1A">
            <w:pPr>
              <w:spacing w:after="0"/>
              <w:contextualSpacing w:val="0"/>
              <w:rPr>
                <w:rFonts w:eastAsia="Times New Roman" w:cs="Times New Roman"/>
                <w:color w:val="000000"/>
                <w:szCs w:val="24"/>
              </w:rPr>
            </w:pPr>
            <w:r w:rsidRPr="00436D1A">
              <w:rPr>
                <w:rFonts w:eastAsia="Times New Roman" w:cs="Times New Roman"/>
                <w:color w:val="000000"/>
                <w:szCs w:val="24"/>
              </w:rPr>
              <w:t>Mineral Laboratories</w:t>
            </w:r>
          </w:p>
        </w:tc>
        <w:tc>
          <w:tcPr>
            <w:tcW w:w="1088"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 </w:t>
            </w:r>
          </w:p>
        </w:tc>
        <w:tc>
          <w:tcPr>
            <w:tcW w:w="946"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µg/L</w:t>
            </w:r>
          </w:p>
        </w:tc>
        <w:tc>
          <w:tcPr>
            <w:tcW w:w="2487"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 </w:t>
            </w:r>
          </w:p>
        </w:tc>
      </w:tr>
      <w:tr w:rsidR="00436D1A" w:rsidRPr="00436D1A" w:rsidTr="00436D1A">
        <w:trPr>
          <w:trHeight w:val="315"/>
        </w:trPr>
        <w:tc>
          <w:tcPr>
            <w:tcW w:w="4283" w:type="dxa"/>
            <w:gridSpan w:val="2"/>
            <w:vMerge w:val="restart"/>
            <w:shd w:val="clear" w:color="auto" w:fill="auto"/>
            <w:noWrap/>
            <w:vAlign w:val="center"/>
            <w:hideMark/>
          </w:tcPr>
          <w:p w:rsidR="00436D1A" w:rsidRPr="00436D1A" w:rsidRDefault="00436D1A" w:rsidP="00436D1A">
            <w:pPr>
              <w:spacing w:after="0"/>
              <w:contextualSpacing w:val="0"/>
              <w:rPr>
                <w:rFonts w:eastAsia="Times New Roman" w:cs="Times New Roman"/>
                <w:color w:val="000000"/>
                <w:szCs w:val="24"/>
              </w:rPr>
            </w:pPr>
            <w:r w:rsidRPr="00436D1A">
              <w:rPr>
                <w:rFonts w:eastAsia="Times New Roman" w:cs="Times New Roman"/>
                <w:color w:val="000000"/>
                <w:szCs w:val="24"/>
              </w:rPr>
              <w:t>REI Consultants, Inc.</w:t>
            </w:r>
          </w:p>
        </w:tc>
        <w:tc>
          <w:tcPr>
            <w:tcW w:w="1088"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4.52</w:t>
            </w:r>
          </w:p>
        </w:tc>
        <w:tc>
          <w:tcPr>
            <w:tcW w:w="946"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µg/L</w:t>
            </w:r>
          </w:p>
        </w:tc>
        <w:tc>
          <w:tcPr>
            <w:tcW w:w="2487"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ICP-MS</w:t>
            </w:r>
          </w:p>
        </w:tc>
      </w:tr>
      <w:tr w:rsidR="00436D1A" w:rsidRPr="00436D1A" w:rsidTr="00436D1A">
        <w:trPr>
          <w:trHeight w:val="315"/>
        </w:trPr>
        <w:tc>
          <w:tcPr>
            <w:tcW w:w="4283" w:type="dxa"/>
            <w:gridSpan w:val="2"/>
            <w:vMerge/>
            <w:vAlign w:val="center"/>
            <w:hideMark/>
          </w:tcPr>
          <w:p w:rsidR="00436D1A" w:rsidRPr="00436D1A" w:rsidRDefault="00436D1A" w:rsidP="00436D1A">
            <w:pPr>
              <w:spacing w:after="0"/>
              <w:contextualSpacing w:val="0"/>
              <w:rPr>
                <w:rFonts w:eastAsia="Times New Roman" w:cs="Times New Roman"/>
                <w:color w:val="000000"/>
                <w:szCs w:val="24"/>
              </w:rPr>
            </w:pPr>
          </w:p>
        </w:tc>
        <w:tc>
          <w:tcPr>
            <w:tcW w:w="1088"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4.40</w:t>
            </w:r>
          </w:p>
        </w:tc>
        <w:tc>
          <w:tcPr>
            <w:tcW w:w="946"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µg/L</w:t>
            </w:r>
          </w:p>
        </w:tc>
        <w:tc>
          <w:tcPr>
            <w:tcW w:w="2487"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GFAA</w:t>
            </w:r>
          </w:p>
        </w:tc>
      </w:tr>
      <w:tr w:rsidR="00436D1A" w:rsidRPr="00436D1A" w:rsidTr="00436D1A">
        <w:trPr>
          <w:trHeight w:val="315"/>
        </w:trPr>
        <w:tc>
          <w:tcPr>
            <w:tcW w:w="4283" w:type="dxa"/>
            <w:gridSpan w:val="2"/>
            <w:shd w:val="clear" w:color="auto" w:fill="auto"/>
            <w:noWrap/>
            <w:vAlign w:val="bottom"/>
            <w:hideMark/>
          </w:tcPr>
          <w:p w:rsidR="00436D1A" w:rsidRPr="00436D1A" w:rsidRDefault="00436D1A" w:rsidP="00436D1A">
            <w:pPr>
              <w:spacing w:after="0"/>
              <w:contextualSpacing w:val="0"/>
              <w:rPr>
                <w:rFonts w:eastAsia="Times New Roman" w:cs="Times New Roman"/>
                <w:szCs w:val="24"/>
              </w:rPr>
            </w:pPr>
            <w:r w:rsidRPr="00436D1A">
              <w:rPr>
                <w:rFonts w:eastAsia="Times New Roman" w:cs="Times New Roman"/>
                <w:szCs w:val="24"/>
              </w:rPr>
              <w:t>SGS-NA, Mineral Services Division-Sophia</w:t>
            </w:r>
          </w:p>
        </w:tc>
        <w:tc>
          <w:tcPr>
            <w:tcW w:w="1088"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4.7</w:t>
            </w:r>
          </w:p>
        </w:tc>
        <w:tc>
          <w:tcPr>
            <w:tcW w:w="946"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µg/L</w:t>
            </w:r>
          </w:p>
        </w:tc>
        <w:tc>
          <w:tcPr>
            <w:tcW w:w="2487"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GFAA</w:t>
            </w:r>
          </w:p>
        </w:tc>
      </w:tr>
      <w:tr w:rsidR="00436D1A" w:rsidRPr="00436D1A" w:rsidTr="00436D1A">
        <w:trPr>
          <w:trHeight w:val="315"/>
        </w:trPr>
        <w:tc>
          <w:tcPr>
            <w:tcW w:w="4283" w:type="dxa"/>
            <w:gridSpan w:val="2"/>
            <w:shd w:val="clear" w:color="auto" w:fill="auto"/>
            <w:noWrap/>
            <w:vAlign w:val="bottom"/>
            <w:hideMark/>
          </w:tcPr>
          <w:p w:rsidR="00436D1A" w:rsidRPr="00436D1A" w:rsidRDefault="00436D1A" w:rsidP="00436D1A">
            <w:pPr>
              <w:spacing w:after="0"/>
              <w:contextualSpacing w:val="0"/>
              <w:rPr>
                <w:rFonts w:eastAsia="Times New Roman" w:cs="Times New Roman"/>
                <w:color w:val="000000"/>
                <w:szCs w:val="24"/>
              </w:rPr>
            </w:pPr>
            <w:r w:rsidRPr="00436D1A">
              <w:rPr>
                <w:rFonts w:eastAsia="Times New Roman" w:cs="Times New Roman"/>
                <w:color w:val="000000"/>
                <w:szCs w:val="24"/>
              </w:rPr>
              <w:t>Standard Laboratories, Inc.</w:t>
            </w:r>
          </w:p>
        </w:tc>
        <w:tc>
          <w:tcPr>
            <w:tcW w:w="1088"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5.02</w:t>
            </w:r>
          </w:p>
        </w:tc>
        <w:tc>
          <w:tcPr>
            <w:tcW w:w="946"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µg/L</w:t>
            </w:r>
          </w:p>
        </w:tc>
        <w:tc>
          <w:tcPr>
            <w:tcW w:w="2487"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GFAA</w:t>
            </w:r>
          </w:p>
        </w:tc>
      </w:tr>
      <w:tr w:rsidR="00436D1A" w:rsidRPr="00436D1A" w:rsidTr="00436D1A">
        <w:trPr>
          <w:trHeight w:val="315"/>
        </w:trPr>
        <w:tc>
          <w:tcPr>
            <w:tcW w:w="4283" w:type="dxa"/>
            <w:gridSpan w:val="2"/>
            <w:shd w:val="clear" w:color="auto" w:fill="auto"/>
            <w:noWrap/>
            <w:vAlign w:val="bottom"/>
            <w:hideMark/>
          </w:tcPr>
          <w:p w:rsidR="00436D1A" w:rsidRPr="00436D1A" w:rsidRDefault="00436D1A" w:rsidP="00436D1A">
            <w:pPr>
              <w:spacing w:after="0"/>
              <w:contextualSpacing w:val="0"/>
              <w:rPr>
                <w:rFonts w:eastAsia="Times New Roman" w:cs="Times New Roman"/>
                <w:color w:val="000000"/>
                <w:szCs w:val="24"/>
              </w:rPr>
            </w:pPr>
            <w:r w:rsidRPr="00436D1A">
              <w:rPr>
                <w:rFonts w:eastAsia="Times New Roman" w:cs="Times New Roman"/>
                <w:color w:val="000000"/>
                <w:szCs w:val="24"/>
              </w:rPr>
              <w:t>Standard Laboratories, Inc.</w:t>
            </w:r>
          </w:p>
        </w:tc>
        <w:tc>
          <w:tcPr>
            <w:tcW w:w="1088"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5.4</w:t>
            </w:r>
          </w:p>
        </w:tc>
        <w:tc>
          <w:tcPr>
            <w:tcW w:w="946"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µg/L</w:t>
            </w:r>
          </w:p>
        </w:tc>
        <w:tc>
          <w:tcPr>
            <w:tcW w:w="2487"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ICP-MS</w:t>
            </w:r>
          </w:p>
        </w:tc>
      </w:tr>
      <w:tr w:rsidR="00436D1A" w:rsidRPr="00436D1A" w:rsidTr="00436D1A">
        <w:trPr>
          <w:trHeight w:val="315"/>
        </w:trPr>
        <w:tc>
          <w:tcPr>
            <w:tcW w:w="4283" w:type="dxa"/>
            <w:gridSpan w:val="2"/>
            <w:shd w:val="clear" w:color="auto" w:fill="auto"/>
            <w:noWrap/>
            <w:vAlign w:val="bottom"/>
            <w:hideMark/>
          </w:tcPr>
          <w:p w:rsidR="00436D1A" w:rsidRPr="00436D1A" w:rsidRDefault="00436D1A" w:rsidP="00436D1A">
            <w:pPr>
              <w:spacing w:after="0"/>
              <w:contextualSpacing w:val="0"/>
              <w:rPr>
                <w:rFonts w:eastAsia="Times New Roman" w:cs="Times New Roman"/>
                <w:color w:val="000000"/>
                <w:szCs w:val="24"/>
              </w:rPr>
            </w:pPr>
            <w:r w:rsidRPr="00436D1A">
              <w:rPr>
                <w:rFonts w:eastAsia="Times New Roman" w:cs="Times New Roman"/>
                <w:color w:val="000000"/>
                <w:szCs w:val="24"/>
              </w:rPr>
              <w:t>Standard Laboratories, Inc. NEST Division</w:t>
            </w:r>
          </w:p>
        </w:tc>
        <w:tc>
          <w:tcPr>
            <w:tcW w:w="1088"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4.56</w:t>
            </w:r>
          </w:p>
        </w:tc>
        <w:tc>
          <w:tcPr>
            <w:tcW w:w="946"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µg/L</w:t>
            </w:r>
          </w:p>
        </w:tc>
        <w:tc>
          <w:tcPr>
            <w:tcW w:w="2487"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GFAA</w:t>
            </w:r>
          </w:p>
        </w:tc>
      </w:tr>
      <w:tr w:rsidR="00436D1A" w:rsidRPr="00436D1A" w:rsidTr="00436D1A">
        <w:trPr>
          <w:trHeight w:val="315"/>
        </w:trPr>
        <w:tc>
          <w:tcPr>
            <w:tcW w:w="4283" w:type="dxa"/>
            <w:gridSpan w:val="2"/>
            <w:shd w:val="clear" w:color="auto" w:fill="auto"/>
            <w:noWrap/>
            <w:vAlign w:val="bottom"/>
            <w:hideMark/>
          </w:tcPr>
          <w:p w:rsidR="00436D1A" w:rsidRPr="00436D1A" w:rsidRDefault="00436D1A" w:rsidP="00436D1A">
            <w:pPr>
              <w:spacing w:after="0"/>
              <w:contextualSpacing w:val="0"/>
              <w:rPr>
                <w:rFonts w:eastAsia="Times New Roman" w:cs="Times New Roman"/>
                <w:color w:val="000000"/>
                <w:szCs w:val="24"/>
              </w:rPr>
            </w:pPr>
            <w:r w:rsidRPr="00436D1A">
              <w:rPr>
                <w:rFonts w:eastAsia="Times New Roman" w:cs="Times New Roman"/>
                <w:color w:val="000000"/>
                <w:szCs w:val="24"/>
              </w:rPr>
              <w:t>Sturm Environmental Services</w:t>
            </w:r>
          </w:p>
        </w:tc>
        <w:tc>
          <w:tcPr>
            <w:tcW w:w="1088"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4.37</w:t>
            </w:r>
          </w:p>
        </w:tc>
        <w:tc>
          <w:tcPr>
            <w:tcW w:w="946"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µg/L</w:t>
            </w:r>
          </w:p>
        </w:tc>
        <w:tc>
          <w:tcPr>
            <w:tcW w:w="2487"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GFAA</w:t>
            </w:r>
          </w:p>
        </w:tc>
      </w:tr>
      <w:tr w:rsidR="00436D1A" w:rsidRPr="00436D1A" w:rsidTr="00436D1A">
        <w:trPr>
          <w:trHeight w:val="330"/>
        </w:trPr>
        <w:tc>
          <w:tcPr>
            <w:tcW w:w="4283" w:type="dxa"/>
            <w:gridSpan w:val="2"/>
            <w:shd w:val="clear" w:color="auto" w:fill="auto"/>
            <w:noWrap/>
            <w:vAlign w:val="bottom"/>
            <w:hideMark/>
          </w:tcPr>
          <w:p w:rsidR="00436D1A" w:rsidRPr="00436D1A" w:rsidRDefault="00436D1A" w:rsidP="00436D1A">
            <w:pPr>
              <w:spacing w:after="0"/>
              <w:contextualSpacing w:val="0"/>
              <w:rPr>
                <w:rFonts w:eastAsia="Times New Roman" w:cs="Times New Roman"/>
                <w:color w:val="000000"/>
                <w:szCs w:val="24"/>
              </w:rPr>
            </w:pPr>
            <w:r w:rsidRPr="00436D1A">
              <w:rPr>
                <w:rFonts w:eastAsia="Times New Roman" w:cs="Times New Roman"/>
                <w:color w:val="000000"/>
                <w:szCs w:val="24"/>
              </w:rPr>
              <w:t>Tra-Det, Inc.</w:t>
            </w:r>
          </w:p>
        </w:tc>
        <w:tc>
          <w:tcPr>
            <w:tcW w:w="1088"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3.90</w:t>
            </w:r>
          </w:p>
        </w:tc>
        <w:tc>
          <w:tcPr>
            <w:tcW w:w="946"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µg/L</w:t>
            </w:r>
          </w:p>
        </w:tc>
        <w:tc>
          <w:tcPr>
            <w:tcW w:w="2487" w:type="dxa"/>
            <w:shd w:val="clear" w:color="auto" w:fill="auto"/>
            <w:noWrap/>
            <w:vAlign w:val="bottom"/>
            <w:hideMark/>
          </w:tcPr>
          <w:p w:rsidR="00436D1A" w:rsidRPr="00436D1A" w:rsidRDefault="00436D1A" w:rsidP="00436D1A">
            <w:pPr>
              <w:spacing w:after="0"/>
              <w:contextualSpacing w:val="0"/>
              <w:jc w:val="center"/>
              <w:rPr>
                <w:rFonts w:eastAsia="Times New Roman" w:cs="Times New Roman"/>
                <w:szCs w:val="24"/>
              </w:rPr>
            </w:pPr>
            <w:r w:rsidRPr="00436D1A">
              <w:rPr>
                <w:rFonts w:eastAsia="Times New Roman" w:cs="Times New Roman"/>
                <w:szCs w:val="24"/>
              </w:rPr>
              <w:t>GH-AA</w:t>
            </w:r>
          </w:p>
        </w:tc>
      </w:tr>
      <w:tr w:rsidR="00436D1A" w:rsidRPr="00436D1A" w:rsidTr="00436D1A">
        <w:trPr>
          <w:gridAfter w:val="2"/>
          <w:wAfter w:w="3433" w:type="dxa"/>
          <w:trHeight w:val="255"/>
        </w:trPr>
        <w:tc>
          <w:tcPr>
            <w:tcW w:w="2220" w:type="dxa"/>
            <w:tcBorders>
              <w:top w:val="nil"/>
              <w:left w:val="nil"/>
              <w:bottom w:val="nil"/>
              <w:right w:val="single" w:sz="8" w:space="0" w:color="auto"/>
            </w:tcBorders>
            <w:shd w:val="clear" w:color="auto" w:fill="auto"/>
            <w:noWrap/>
            <w:vAlign w:val="bottom"/>
            <w:hideMark/>
          </w:tcPr>
          <w:p w:rsidR="00436D1A" w:rsidRPr="00436D1A" w:rsidRDefault="00436D1A" w:rsidP="00436D1A">
            <w:pPr>
              <w:spacing w:after="0"/>
              <w:contextualSpacing w:val="0"/>
              <w:jc w:val="right"/>
              <w:rPr>
                <w:rFonts w:ascii="Arial" w:eastAsia="Times New Roman" w:hAnsi="Arial" w:cs="Arial"/>
                <w:sz w:val="20"/>
                <w:szCs w:val="20"/>
              </w:rPr>
            </w:pPr>
          </w:p>
        </w:tc>
        <w:tc>
          <w:tcPr>
            <w:tcW w:w="2063" w:type="dxa"/>
            <w:tcBorders>
              <w:left w:val="single" w:sz="8" w:space="0" w:color="auto"/>
            </w:tcBorders>
            <w:shd w:val="clear" w:color="auto" w:fill="auto"/>
            <w:noWrap/>
            <w:vAlign w:val="bottom"/>
            <w:hideMark/>
          </w:tcPr>
          <w:p w:rsidR="00436D1A" w:rsidRPr="00436D1A" w:rsidRDefault="00436D1A" w:rsidP="00867DA4">
            <w:pPr>
              <w:spacing w:after="0"/>
              <w:contextualSpacing w:val="0"/>
              <w:jc w:val="right"/>
              <w:rPr>
                <w:rFonts w:eastAsia="Times New Roman" w:cs="Times New Roman"/>
                <w:szCs w:val="24"/>
              </w:rPr>
            </w:pPr>
            <w:r w:rsidRPr="00436D1A">
              <w:rPr>
                <w:rFonts w:eastAsia="Times New Roman" w:cs="Times New Roman"/>
                <w:szCs w:val="24"/>
              </w:rPr>
              <w:t>Average</w:t>
            </w:r>
          </w:p>
        </w:tc>
        <w:tc>
          <w:tcPr>
            <w:tcW w:w="1088" w:type="dxa"/>
            <w:vAlign w:val="bottom"/>
          </w:tcPr>
          <w:p w:rsidR="00436D1A" w:rsidRPr="00436D1A" w:rsidRDefault="00436D1A" w:rsidP="00867DA4">
            <w:pPr>
              <w:spacing w:after="0"/>
              <w:contextualSpacing w:val="0"/>
              <w:jc w:val="center"/>
              <w:rPr>
                <w:rFonts w:eastAsia="Times New Roman" w:cs="Times New Roman"/>
                <w:szCs w:val="24"/>
              </w:rPr>
            </w:pPr>
            <w:r w:rsidRPr="00436D1A">
              <w:rPr>
                <w:rFonts w:eastAsia="Times New Roman" w:cs="Times New Roman"/>
                <w:szCs w:val="24"/>
              </w:rPr>
              <w:t>4.82</w:t>
            </w:r>
          </w:p>
        </w:tc>
      </w:tr>
      <w:tr w:rsidR="00436D1A" w:rsidRPr="00436D1A" w:rsidTr="00436D1A">
        <w:trPr>
          <w:gridAfter w:val="2"/>
          <w:wAfter w:w="3433" w:type="dxa"/>
          <w:trHeight w:val="255"/>
        </w:trPr>
        <w:tc>
          <w:tcPr>
            <w:tcW w:w="2220" w:type="dxa"/>
            <w:tcBorders>
              <w:top w:val="nil"/>
              <w:left w:val="nil"/>
              <w:bottom w:val="nil"/>
              <w:right w:val="single" w:sz="8" w:space="0" w:color="auto"/>
            </w:tcBorders>
            <w:shd w:val="clear" w:color="auto" w:fill="auto"/>
            <w:noWrap/>
            <w:vAlign w:val="bottom"/>
            <w:hideMark/>
          </w:tcPr>
          <w:p w:rsidR="00436D1A" w:rsidRPr="00436D1A" w:rsidRDefault="00436D1A" w:rsidP="00436D1A">
            <w:pPr>
              <w:spacing w:after="0"/>
              <w:contextualSpacing w:val="0"/>
              <w:jc w:val="right"/>
              <w:rPr>
                <w:rFonts w:ascii="Arial" w:eastAsia="Times New Roman" w:hAnsi="Arial" w:cs="Arial"/>
                <w:sz w:val="20"/>
                <w:szCs w:val="20"/>
              </w:rPr>
            </w:pPr>
          </w:p>
        </w:tc>
        <w:tc>
          <w:tcPr>
            <w:tcW w:w="2063" w:type="dxa"/>
            <w:tcBorders>
              <w:left w:val="single" w:sz="8" w:space="0" w:color="auto"/>
            </w:tcBorders>
            <w:shd w:val="clear" w:color="auto" w:fill="auto"/>
            <w:noWrap/>
            <w:vAlign w:val="bottom"/>
            <w:hideMark/>
          </w:tcPr>
          <w:p w:rsidR="00436D1A" w:rsidRPr="00436D1A" w:rsidRDefault="00436D1A" w:rsidP="00867DA4">
            <w:pPr>
              <w:spacing w:after="0"/>
              <w:contextualSpacing w:val="0"/>
              <w:jc w:val="right"/>
              <w:rPr>
                <w:rFonts w:eastAsia="Times New Roman" w:cs="Times New Roman"/>
                <w:szCs w:val="24"/>
              </w:rPr>
            </w:pPr>
            <w:r w:rsidRPr="00436D1A">
              <w:rPr>
                <w:rFonts w:eastAsia="Times New Roman" w:cs="Times New Roman"/>
                <w:szCs w:val="24"/>
              </w:rPr>
              <w:t>SD</w:t>
            </w:r>
          </w:p>
        </w:tc>
        <w:tc>
          <w:tcPr>
            <w:tcW w:w="1088" w:type="dxa"/>
            <w:vAlign w:val="bottom"/>
          </w:tcPr>
          <w:p w:rsidR="00436D1A" w:rsidRPr="00436D1A" w:rsidRDefault="00436D1A" w:rsidP="00867DA4">
            <w:pPr>
              <w:spacing w:after="0"/>
              <w:contextualSpacing w:val="0"/>
              <w:jc w:val="center"/>
              <w:rPr>
                <w:rFonts w:eastAsia="Times New Roman" w:cs="Times New Roman"/>
                <w:szCs w:val="24"/>
              </w:rPr>
            </w:pPr>
            <w:r w:rsidRPr="00436D1A">
              <w:rPr>
                <w:rFonts w:eastAsia="Times New Roman" w:cs="Times New Roman"/>
                <w:szCs w:val="24"/>
              </w:rPr>
              <w:t>0.51</w:t>
            </w:r>
          </w:p>
        </w:tc>
      </w:tr>
      <w:tr w:rsidR="00436D1A" w:rsidRPr="00436D1A" w:rsidTr="00436D1A">
        <w:trPr>
          <w:gridAfter w:val="2"/>
          <w:wAfter w:w="3433" w:type="dxa"/>
          <w:trHeight w:val="255"/>
        </w:trPr>
        <w:tc>
          <w:tcPr>
            <w:tcW w:w="2220" w:type="dxa"/>
            <w:tcBorders>
              <w:top w:val="nil"/>
              <w:left w:val="nil"/>
              <w:bottom w:val="nil"/>
              <w:right w:val="single" w:sz="8" w:space="0" w:color="auto"/>
            </w:tcBorders>
            <w:shd w:val="clear" w:color="auto" w:fill="auto"/>
            <w:noWrap/>
            <w:vAlign w:val="bottom"/>
            <w:hideMark/>
          </w:tcPr>
          <w:p w:rsidR="00436D1A" w:rsidRPr="00436D1A" w:rsidRDefault="00436D1A" w:rsidP="00436D1A">
            <w:pPr>
              <w:spacing w:after="0"/>
              <w:contextualSpacing w:val="0"/>
              <w:jc w:val="right"/>
              <w:rPr>
                <w:rFonts w:ascii="Arial" w:eastAsia="Times New Roman" w:hAnsi="Arial" w:cs="Arial"/>
                <w:sz w:val="20"/>
                <w:szCs w:val="20"/>
              </w:rPr>
            </w:pPr>
          </w:p>
        </w:tc>
        <w:tc>
          <w:tcPr>
            <w:tcW w:w="2063" w:type="dxa"/>
            <w:tcBorders>
              <w:left w:val="single" w:sz="8" w:space="0" w:color="auto"/>
            </w:tcBorders>
            <w:shd w:val="clear" w:color="auto" w:fill="auto"/>
            <w:noWrap/>
            <w:vAlign w:val="bottom"/>
            <w:hideMark/>
          </w:tcPr>
          <w:p w:rsidR="00436D1A" w:rsidRPr="00436D1A" w:rsidRDefault="00436D1A" w:rsidP="00867DA4">
            <w:pPr>
              <w:spacing w:after="0"/>
              <w:contextualSpacing w:val="0"/>
              <w:jc w:val="right"/>
              <w:rPr>
                <w:rFonts w:eastAsia="Times New Roman" w:cs="Times New Roman"/>
                <w:szCs w:val="24"/>
              </w:rPr>
            </w:pPr>
            <w:r w:rsidRPr="00436D1A">
              <w:rPr>
                <w:rFonts w:eastAsia="Times New Roman" w:cs="Times New Roman"/>
                <w:szCs w:val="24"/>
              </w:rPr>
              <w:t>RSD</w:t>
            </w:r>
          </w:p>
        </w:tc>
        <w:tc>
          <w:tcPr>
            <w:tcW w:w="1088" w:type="dxa"/>
            <w:vAlign w:val="bottom"/>
          </w:tcPr>
          <w:p w:rsidR="00436D1A" w:rsidRPr="00436D1A" w:rsidRDefault="00436D1A" w:rsidP="00867DA4">
            <w:pPr>
              <w:spacing w:after="0"/>
              <w:contextualSpacing w:val="0"/>
              <w:jc w:val="center"/>
              <w:rPr>
                <w:rFonts w:eastAsia="Times New Roman" w:cs="Times New Roman"/>
                <w:szCs w:val="24"/>
              </w:rPr>
            </w:pPr>
            <w:r w:rsidRPr="00436D1A">
              <w:rPr>
                <w:rFonts w:eastAsia="Times New Roman" w:cs="Times New Roman"/>
                <w:szCs w:val="24"/>
              </w:rPr>
              <w:t>10.6%</w:t>
            </w:r>
          </w:p>
        </w:tc>
      </w:tr>
    </w:tbl>
    <w:p w:rsidR="00630179" w:rsidRDefault="00630179" w:rsidP="00A837D3">
      <w:pPr>
        <w:ind w:firstLine="720"/>
      </w:pPr>
    </w:p>
    <w:p w:rsidR="00436D1A" w:rsidRDefault="00436D1A" w:rsidP="00A837D3">
      <w:pPr>
        <w:ind w:firstLine="720"/>
      </w:pPr>
    </w:p>
    <w:p w:rsidR="00A837D3" w:rsidRDefault="00A837D3" w:rsidP="00113586">
      <w:pPr>
        <w:spacing w:line="276" w:lineRule="auto"/>
        <w:ind w:firstLine="720"/>
      </w:pPr>
      <w:r>
        <w:t>Personnel at Mineral Laboratories indicated they had received the sample</w:t>
      </w:r>
      <w:r w:rsidR="00B41DB8">
        <w:t>,</w:t>
      </w:r>
      <w:r>
        <w:t xml:space="preserve"> but that </w:t>
      </w:r>
      <w:r w:rsidR="00B41DB8">
        <w:t>the sample</w:t>
      </w:r>
      <w:r>
        <w:t xml:space="preserve"> was misplaced, consequently</w:t>
      </w:r>
      <w:r w:rsidR="00B41DB8">
        <w:t>,</w:t>
      </w:r>
      <w:r>
        <w:t xml:space="preserve"> no data was received from this lab.  Central Testing, Inc. reported data after the close of the study time frame.  The result was received from Central Testing, Inc. and reviewed.  Central Testing, Inc. reported a value of 7.7 µg/L</w:t>
      </w:r>
      <w:r w:rsidR="007407E5">
        <w:t>,</w:t>
      </w:r>
      <w:r>
        <w:t xml:space="preserve"> which is 154% Recovery of the true value.  This result was produced using GFAA.  Since the data was received after the close and it would be considered an outlier, it is not included in the statistical review of the study data.</w:t>
      </w:r>
      <w:r w:rsidR="005B01E4">
        <w:t xml:space="preserve">  (Central Testing, Inc. closed its lab in January 2009)</w:t>
      </w:r>
      <w:r>
        <w:t xml:space="preserve">  Tra-Det, Inc. used the gaseous hydride</w:t>
      </w:r>
      <w:r w:rsidR="00EB0561">
        <w:t>/atomic absorption</w:t>
      </w:r>
      <w:r>
        <w:t xml:space="preserve"> te</w:t>
      </w:r>
      <w:r w:rsidR="00EB0561">
        <w:t>chnique for determination of Se.</w:t>
      </w:r>
      <w:r>
        <w:t xml:space="preserve">  The data from Phase I used for review is depicted in the table below.</w:t>
      </w:r>
    </w:p>
    <w:p w:rsidR="00A837D3" w:rsidRDefault="00A837D3" w:rsidP="00A837D3"/>
    <w:p w:rsidR="00113586" w:rsidRDefault="00113586" w:rsidP="00A837D3">
      <w:pPr>
        <w:rPr>
          <w:b/>
          <w:sz w:val="32"/>
          <w:szCs w:val="32"/>
        </w:rPr>
      </w:pPr>
    </w:p>
    <w:p w:rsidR="00113586" w:rsidRDefault="00113586" w:rsidP="00A837D3">
      <w:pPr>
        <w:rPr>
          <w:b/>
          <w:sz w:val="32"/>
          <w:szCs w:val="32"/>
        </w:rPr>
      </w:pPr>
    </w:p>
    <w:p w:rsidR="00A837D3" w:rsidRPr="006365D0" w:rsidRDefault="00A837D3" w:rsidP="00A837D3">
      <w:pPr>
        <w:rPr>
          <w:b/>
          <w:sz w:val="32"/>
          <w:szCs w:val="32"/>
        </w:rPr>
      </w:pPr>
      <w:r w:rsidRPr="006365D0">
        <w:rPr>
          <w:b/>
          <w:sz w:val="32"/>
          <w:szCs w:val="32"/>
        </w:rPr>
        <w:lastRenderedPageBreak/>
        <w:t>Table 2</w:t>
      </w:r>
    </w:p>
    <w:p w:rsidR="00A837D3" w:rsidRDefault="00A837D3" w:rsidP="00A837D3"/>
    <w:tbl>
      <w:tblPr>
        <w:tblW w:w="83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0"/>
        <w:gridCol w:w="340"/>
        <w:gridCol w:w="1088"/>
        <w:gridCol w:w="960"/>
        <w:gridCol w:w="1190"/>
        <w:gridCol w:w="1283"/>
        <w:gridCol w:w="960"/>
      </w:tblGrid>
      <w:tr w:rsidR="005B4233" w:rsidTr="005B4233">
        <w:trPr>
          <w:trHeight w:val="405"/>
        </w:trPr>
        <w:tc>
          <w:tcPr>
            <w:tcW w:w="2670" w:type="dxa"/>
            <w:shd w:val="clear" w:color="auto" w:fill="auto"/>
            <w:noWrap/>
            <w:vAlign w:val="bottom"/>
            <w:hideMark/>
          </w:tcPr>
          <w:p w:rsidR="005B4233" w:rsidRPr="00F4161B" w:rsidRDefault="005B4233">
            <w:pPr>
              <w:rPr>
                <w:b/>
                <w:bCs/>
                <w:sz w:val="32"/>
                <w:szCs w:val="32"/>
              </w:rPr>
            </w:pPr>
            <w:r w:rsidRPr="00F4161B">
              <w:rPr>
                <w:b/>
                <w:bCs/>
                <w:sz w:val="32"/>
                <w:szCs w:val="32"/>
              </w:rPr>
              <w:t>Lab</w:t>
            </w:r>
            <w:r w:rsidR="00436D1A">
              <w:rPr>
                <w:b/>
                <w:bCs/>
                <w:sz w:val="32"/>
                <w:szCs w:val="32"/>
              </w:rPr>
              <w:t>oratory</w:t>
            </w:r>
          </w:p>
        </w:tc>
        <w:tc>
          <w:tcPr>
            <w:tcW w:w="340" w:type="dxa"/>
            <w:shd w:val="clear" w:color="auto" w:fill="auto"/>
            <w:noWrap/>
            <w:vAlign w:val="bottom"/>
            <w:hideMark/>
          </w:tcPr>
          <w:p w:rsidR="005B4233" w:rsidRPr="00F4161B" w:rsidRDefault="005B4233">
            <w:pPr>
              <w:rPr>
                <w:b/>
                <w:bCs/>
                <w:sz w:val="32"/>
                <w:szCs w:val="32"/>
              </w:rPr>
            </w:pPr>
          </w:p>
        </w:tc>
        <w:tc>
          <w:tcPr>
            <w:tcW w:w="1034" w:type="dxa"/>
            <w:shd w:val="clear" w:color="auto" w:fill="auto"/>
            <w:noWrap/>
            <w:vAlign w:val="bottom"/>
            <w:hideMark/>
          </w:tcPr>
          <w:p w:rsidR="005B4233" w:rsidRPr="00F4161B" w:rsidRDefault="005B4233">
            <w:pPr>
              <w:rPr>
                <w:b/>
                <w:sz w:val="32"/>
                <w:szCs w:val="32"/>
              </w:rPr>
            </w:pPr>
            <w:r w:rsidRPr="00F4161B">
              <w:rPr>
                <w:b/>
                <w:sz w:val="32"/>
                <w:szCs w:val="32"/>
              </w:rPr>
              <w:t>Result</w:t>
            </w:r>
          </w:p>
        </w:tc>
        <w:tc>
          <w:tcPr>
            <w:tcW w:w="960" w:type="dxa"/>
            <w:shd w:val="clear" w:color="auto" w:fill="auto"/>
            <w:noWrap/>
            <w:vAlign w:val="bottom"/>
            <w:hideMark/>
          </w:tcPr>
          <w:p w:rsidR="005B4233" w:rsidRPr="00F4161B" w:rsidRDefault="005B4233">
            <w:pPr>
              <w:rPr>
                <w:b/>
                <w:sz w:val="32"/>
                <w:szCs w:val="32"/>
              </w:rPr>
            </w:pPr>
            <w:r w:rsidRPr="00F4161B">
              <w:rPr>
                <w:b/>
                <w:sz w:val="32"/>
                <w:szCs w:val="32"/>
              </w:rPr>
              <w:t>units</w:t>
            </w:r>
          </w:p>
        </w:tc>
        <w:tc>
          <w:tcPr>
            <w:tcW w:w="1190" w:type="dxa"/>
            <w:shd w:val="clear" w:color="auto" w:fill="auto"/>
            <w:noWrap/>
            <w:vAlign w:val="bottom"/>
            <w:hideMark/>
          </w:tcPr>
          <w:p w:rsidR="005B4233" w:rsidRPr="00F4161B" w:rsidRDefault="005B4233">
            <w:pPr>
              <w:rPr>
                <w:b/>
                <w:sz w:val="32"/>
                <w:szCs w:val="32"/>
              </w:rPr>
            </w:pPr>
            <w:r w:rsidRPr="00F4161B">
              <w:rPr>
                <w:b/>
                <w:sz w:val="32"/>
                <w:szCs w:val="32"/>
              </w:rPr>
              <w:t xml:space="preserve">Date </w:t>
            </w:r>
          </w:p>
        </w:tc>
        <w:tc>
          <w:tcPr>
            <w:tcW w:w="1212" w:type="dxa"/>
            <w:shd w:val="clear" w:color="auto" w:fill="auto"/>
            <w:noWrap/>
            <w:vAlign w:val="bottom"/>
            <w:hideMark/>
          </w:tcPr>
          <w:p w:rsidR="005B4233" w:rsidRPr="00F4161B" w:rsidRDefault="005B4233">
            <w:pPr>
              <w:rPr>
                <w:b/>
                <w:sz w:val="32"/>
                <w:szCs w:val="32"/>
              </w:rPr>
            </w:pPr>
            <w:r w:rsidRPr="00F4161B">
              <w:rPr>
                <w:b/>
                <w:sz w:val="32"/>
                <w:szCs w:val="32"/>
              </w:rPr>
              <w:t>Method</w:t>
            </w:r>
          </w:p>
        </w:tc>
        <w:tc>
          <w:tcPr>
            <w:tcW w:w="960" w:type="dxa"/>
            <w:shd w:val="clear" w:color="auto" w:fill="auto"/>
            <w:noWrap/>
            <w:vAlign w:val="bottom"/>
            <w:hideMark/>
          </w:tcPr>
          <w:p w:rsidR="005B4233" w:rsidRPr="00F4161B" w:rsidRDefault="005B4233">
            <w:pPr>
              <w:rPr>
                <w:b/>
                <w:sz w:val="32"/>
                <w:szCs w:val="32"/>
              </w:rPr>
            </w:pPr>
            <w:r w:rsidRPr="00F4161B">
              <w:rPr>
                <w:b/>
                <w:sz w:val="32"/>
                <w:szCs w:val="32"/>
              </w:rPr>
              <w:t>% Rec.</w:t>
            </w:r>
          </w:p>
        </w:tc>
      </w:tr>
      <w:tr w:rsidR="005B4233" w:rsidTr="005B4233">
        <w:trPr>
          <w:trHeight w:val="315"/>
        </w:trPr>
        <w:tc>
          <w:tcPr>
            <w:tcW w:w="2670" w:type="dxa"/>
            <w:shd w:val="clear" w:color="auto" w:fill="auto"/>
            <w:noWrap/>
            <w:vAlign w:val="bottom"/>
            <w:hideMark/>
          </w:tcPr>
          <w:p w:rsidR="005B4233" w:rsidRDefault="005B4233">
            <w:pPr>
              <w:rPr>
                <w:color w:val="000000"/>
                <w:szCs w:val="24"/>
              </w:rPr>
            </w:pPr>
            <w:r>
              <w:rPr>
                <w:color w:val="000000"/>
              </w:rPr>
              <w:t>Appalachian Laboratories</w:t>
            </w:r>
          </w:p>
        </w:tc>
        <w:tc>
          <w:tcPr>
            <w:tcW w:w="340" w:type="dxa"/>
            <w:shd w:val="clear" w:color="auto" w:fill="auto"/>
            <w:noWrap/>
            <w:vAlign w:val="bottom"/>
            <w:hideMark/>
          </w:tcPr>
          <w:p w:rsidR="005B4233" w:rsidRDefault="005B4233">
            <w:pPr>
              <w:rPr>
                <w:color w:val="000000"/>
                <w:szCs w:val="24"/>
              </w:rPr>
            </w:pPr>
          </w:p>
        </w:tc>
        <w:tc>
          <w:tcPr>
            <w:tcW w:w="1034" w:type="dxa"/>
            <w:shd w:val="clear" w:color="auto" w:fill="auto"/>
            <w:noWrap/>
            <w:vAlign w:val="bottom"/>
            <w:hideMark/>
          </w:tcPr>
          <w:p w:rsidR="005B4233" w:rsidRDefault="005B4233">
            <w:pPr>
              <w:jc w:val="right"/>
              <w:rPr>
                <w:color w:val="000000"/>
                <w:szCs w:val="24"/>
              </w:rPr>
            </w:pPr>
            <w:r>
              <w:rPr>
                <w:color w:val="000000"/>
              </w:rPr>
              <w:t>4.7</w:t>
            </w:r>
          </w:p>
        </w:tc>
        <w:tc>
          <w:tcPr>
            <w:tcW w:w="960" w:type="dxa"/>
            <w:shd w:val="clear" w:color="auto" w:fill="auto"/>
            <w:noWrap/>
            <w:vAlign w:val="bottom"/>
            <w:hideMark/>
          </w:tcPr>
          <w:p w:rsidR="005B4233" w:rsidRDefault="005B4233">
            <w:pPr>
              <w:rPr>
                <w:color w:val="000000"/>
                <w:szCs w:val="24"/>
              </w:rPr>
            </w:pPr>
            <w:r>
              <w:rPr>
                <w:color w:val="000000"/>
              </w:rPr>
              <w:t>µg/L</w:t>
            </w:r>
          </w:p>
        </w:tc>
        <w:tc>
          <w:tcPr>
            <w:tcW w:w="1190" w:type="dxa"/>
            <w:shd w:val="clear" w:color="auto" w:fill="auto"/>
            <w:noWrap/>
            <w:vAlign w:val="bottom"/>
            <w:hideMark/>
          </w:tcPr>
          <w:p w:rsidR="005B4233" w:rsidRDefault="005B4233">
            <w:pPr>
              <w:jc w:val="right"/>
              <w:rPr>
                <w:color w:val="000000"/>
                <w:szCs w:val="24"/>
              </w:rPr>
            </w:pPr>
            <w:r>
              <w:rPr>
                <w:color w:val="000000"/>
              </w:rPr>
              <w:t>4/25/2008</w:t>
            </w:r>
          </w:p>
        </w:tc>
        <w:tc>
          <w:tcPr>
            <w:tcW w:w="1212" w:type="dxa"/>
            <w:shd w:val="clear" w:color="auto" w:fill="auto"/>
            <w:noWrap/>
            <w:vAlign w:val="bottom"/>
            <w:hideMark/>
          </w:tcPr>
          <w:p w:rsidR="005B4233" w:rsidRDefault="00436D1A">
            <w:pPr>
              <w:jc w:val="right"/>
              <w:rPr>
                <w:color w:val="000000"/>
                <w:szCs w:val="24"/>
              </w:rPr>
            </w:pPr>
            <w:r>
              <w:rPr>
                <w:color w:val="000000"/>
              </w:rPr>
              <w:t>GFAA</w:t>
            </w:r>
          </w:p>
        </w:tc>
        <w:tc>
          <w:tcPr>
            <w:tcW w:w="960" w:type="dxa"/>
            <w:shd w:val="clear" w:color="auto" w:fill="auto"/>
            <w:noWrap/>
            <w:vAlign w:val="bottom"/>
            <w:hideMark/>
          </w:tcPr>
          <w:p w:rsidR="005B4233" w:rsidRDefault="005B4233">
            <w:pPr>
              <w:jc w:val="right"/>
              <w:rPr>
                <w:color w:val="000000"/>
                <w:szCs w:val="24"/>
              </w:rPr>
            </w:pPr>
            <w:r>
              <w:rPr>
                <w:color w:val="000000"/>
              </w:rPr>
              <w:t>94.0</w:t>
            </w:r>
          </w:p>
        </w:tc>
      </w:tr>
      <w:tr w:rsidR="005B4233" w:rsidTr="005B4233">
        <w:trPr>
          <w:trHeight w:val="315"/>
        </w:trPr>
        <w:tc>
          <w:tcPr>
            <w:tcW w:w="2670" w:type="dxa"/>
            <w:shd w:val="clear" w:color="auto" w:fill="auto"/>
            <w:noWrap/>
            <w:vAlign w:val="bottom"/>
            <w:hideMark/>
          </w:tcPr>
          <w:p w:rsidR="005B4233" w:rsidRDefault="005B4233">
            <w:pPr>
              <w:rPr>
                <w:color w:val="000000"/>
                <w:szCs w:val="24"/>
              </w:rPr>
            </w:pPr>
            <w:r>
              <w:rPr>
                <w:color w:val="000000"/>
              </w:rPr>
              <w:t>Appalachian States</w:t>
            </w:r>
          </w:p>
        </w:tc>
        <w:tc>
          <w:tcPr>
            <w:tcW w:w="340" w:type="dxa"/>
            <w:shd w:val="clear" w:color="auto" w:fill="auto"/>
            <w:noWrap/>
            <w:vAlign w:val="bottom"/>
            <w:hideMark/>
          </w:tcPr>
          <w:p w:rsidR="005B4233" w:rsidRDefault="005B4233">
            <w:pPr>
              <w:rPr>
                <w:color w:val="000000"/>
                <w:szCs w:val="24"/>
              </w:rPr>
            </w:pPr>
          </w:p>
        </w:tc>
        <w:tc>
          <w:tcPr>
            <w:tcW w:w="1034" w:type="dxa"/>
            <w:shd w:val="clear" w:color="auto" w:fill="auto"/>
            <w:noWrap/>
            <w:vAlign w:val="bottom"/>
            <w:hideMark/>
          </w:tcPr>
          <w:p w:rsidR="005B4233" w:rsidRDefault="005B4233">
            <w:pPr>
              <w:jc w:val="right"/>
              <w:rPr>
                <w:color w:val="000000"/>
                <w:szCs w:val="24"/>
              </w:rPr>
            </w:pPr>
            <w:r>
              <w:rPr>
                <w:color w:val="000000"/>
              </w:rPr>
              <w:t>5.1</w:t>
            </w:r>
          </w:p>
        </w:tc>
        <w:tc>
          <w:tcPr>
            <w:tcW w:w="960" w:type="dxa"/>
            <w:shd w:val="clear" w:color="auto" w:fill="auto"/>
            <w:noWrap/>
            <w:vAlign w:val="bottom"/>
            <w:hideMark/>
          </w:tcPr>
          <w:p w:rsidR="005B4233" w:rsidRDefault="005B4233">
            <w:pPr>
              <w:rPr>
                <w:color w:val="000000"/>
                <w:szCs w:val="24"/>
              </w:rPr>
            </w:pPr>
            <w:r>
              <w:rPr>
                <w:color w:val="000000"/>
              </w:rPr>
              <w:t>µg/L</w:t>
            </w:r>
          </w:p>
        </w:tc>
        <w:tc>
          <w:tcPr>
            <w:tcW w:w="1190" w:type="dxa"/>
            <w:shd w:val="clear" w:color="auto" w:fill="auto"/>
            <w:noWrap/>
            <w:vAlign w:val="bottom"/>
            <w:hideMark/>
          </w:tcPr>
          <w:p w:rsidR="005B4233" w:rsidRDefault="005B4233">
            <w:pPr>
              <w:jc w:val="right"/>
              <w:rPr>
                <w:color w:val="000000"/>
                <w:szCs w:val="24"/>
              </w:rPr>
            </w:pPr>
            <w:r>
              <w:rPr>
                <w:color w:val="000000"/>
              </w:rPr>
              <w:t>4/30/2008</w:t>
            </w:r>
          </w:p>
        </w:tc>
        <w:tc>
          <w:tcPr>
            <w:tcW w:w="1212" w:type="dxa"/>
            <w:shd w:val="clear" w:color="auto" w:fill="auto"/>
            <w:noWrap/>
            <w:vAlign w:val="bottom"/>
            <w:hideMark/>
          </w:tcPr>
          <w:p w:rsidR="00436D1A" w:rsidRPr="00436D1A" w:rsidRDefault="00436D1A" w:rsidP="00436D1A">
            <w:pPr>
              <w:jc w:val="right"/>
              <w:rPr>
                <w:color w:val="000000"/>
              </w:rPr>
            </w:pPr>
            <w:r>
              <w:rPr>
                <w:color w:val="000000"/>
              </w:rPr>
              <w:t>GFAA</w:t>
            </w:r>
          </w:p>
        </w:tc>
        <w:tc>
          <w:tcPr>
            <w:tcW w:w="960" w:type="dxa"/>
            <w:shd w:val="clear" w:color="auto" w:fill="auto"/>
            <w:noWrap/>
            <w:vAlign w:val="bottom"/>
            <w:hideMark/>
          </w:tcPr>
          <w:p w:rsidR="005B4233" w:rsidRDefault="005B4233">
            <w:pPr>
              <w:jc w:val="right"/>
              <w:rPr>
                <w:color w:val="000000"/>
                <w:szCs w:val="24"/>
              </w:rPr>
            </w:pPr>
            <w:r>
              <w:rPr>
                <w:color w:val="000000"/>
              </w:rPr>
              <w:t>102.0</w:t>
            </w:r>
          </w:p>
        </w:tc>
      </w:tr>
      <w:tr w:rsidR="005B4233" w:rsidTr="005B4233">
        <w:trPr>
          <w:trHeight w:val="315"/>
        </w:trPr>
        <w:tc>
          <w:tcPr>
            <w:tcW w:w="2670" w:type="dxa"/>
            <w:shd w:val="clear" w:color="auto" w:fill="auto"/>
            <w:noWrap/>
            <w:vAlign w:val="bottom"/>
            <w:hideMark/>
          </w:tcPr>
          <w:p w:rsidR="005B4233" w:rsidRDefault="005B4233">
            <w:pPr>
              <w:rPr>
                <w:color w:val="000000"/>
                <w:szCs w:val="24"/>
              </w:rPr>
            </w:pPr>
            <w:r>
              <w:rPr>
                <w:color w:val="000000"/>
              </w:rPr>
              <w:t>Standard Labs (NEST)</w:t>
            </w:r>
          </w:p>
        </w:tc>
        <w:tc>
          <w:tcPr>
            <w:tcW w:w="340" w:type="dxa"/>
            <w:shd w:val="clear" w:color="auto" w:fill="auto"/>
            <w:noWrap/>
            <w:vAlign w:val="bottom"/>
            <w:hideMark/>
          </w:tcPr>
          <w:p w:rsidR="005B4233" w:rsidRDefault="005B4233">
            <w:pPr>
              <w:rPr>
                <w:color w:val="000000"/>
                <w:szCs w:val="24"/>
              </w:rPr>
            </w:pPr>
          </w:p>
        </w:tc>
        <w:tc>
          <w:tcPr>
            <w:tcW w:w="1034" w:type="dxa"/>
            <w:shd w:val="clear" w:color="auto" w:fill="auto"/>
            <w:noWrap/>
            <w:vAlign w:val="bottom"/>
            <w:hideMark/>
          </w:tcPr>
          <w:p w:rsidR="005B4233" w:rsidRDefault="005B4233">
            <w:pPr>
              <w:jc w:val="right"/>
              <w:rPr>
                <w:color w:val="000000"/>
                <w:szCs w:val="24"/>
              </w:rPr>
            </w:pPr>
            <w:r>
              <w:rPr>
                <w:color w:val="000000"/>
              </w:rPr>
              <w:t>4.56</w:t>
            </w:r>
          </w:p>
        </w:tc>
        <w:tc>
          <w:tcPr>
            <w:tcW w:w="960" w:type="dxa"/>
            <w:shd w:val="clear" w:color="auto" w:fill="auto"/>
            <w:noWrap/>
            <w:vAlign w:val="bottom"/>
            <w:hideMark/>
          </w:tcPr>
          <w:p w:rsidR="005B4233" w:rsidRDefault="005B4233">
            <w:pPr>
              <w:rPr>
                <w:color w:val="000000"/>
                <w:szCs w:val="24"/>
              </w:rPr>
            </w:pPr>
            <w:r>
              <w:rPr>
                <w:color w:val="000000"/>
              </w:rPr>
              <w:t>µg/L</w:t>
            </w:r>
          </w:p>
        </w:tc>
        <w:tc>
          <w:tcPr>
            <w:tcW w:w="1190" w:type="dxa"/>
            <w:shd w:val="clear" w:color="auto" w:fill="auto"/>
            <w:noWrap/>
            <w:vAlign w:val="bottom"/>
            <w:hideMark/>
          </w:tcPr>
          <w:p w:rsidR="005B4233" w:rsidRDefault="005B4233">
            <w:pPr>
              <w:jc w:val="right"/>
              <w:rPr>
                <w:color w:val="000000"/>
                <w:szCs w:val="24"/>
              </w:rPr>
            </w:pPr>
            <w:r>
              <w:rPr>
                <w:color w:val="000000"/>
              </w:rPr>
              <w:t>5/1/2008</w:t>
            </w:r>
          </w:p>
        </w:tc>
        <w:tc>
          <w:tcPr>
            <w:tcW w:w="1212" w:type="dxa"/>
            <w:shd w:val="clear" w:color="auto" w:fill="auto"/>
            <w:noWrap/>
            <w:vAlign w:val="bottom"/>
            <w:hideMark/>
          </w:tcPr>
          <w:p w:rsidR="005B4233" w:rsidRDefault="00436D1A">
            <w:pPr>
              <w:jc w:val="right"/>
              <w:rPr>
                <w:color w:val="000000"/>
                <w:szCs w:val="24"/>
              </w:rPr>
            </w:pPr>
            <w:r>
              <w:rPr>
                <w:color w:val="000000"/>
              </w:rPr>
              <w:t>GFAA</w:t>
            </w:r>
          </w:p>
        </w:tc>
        <w:tc>
          <w:tcPr>
            <w:tcW w:w="960" w:type="dxa"/>
            <w:shd w:val="clear" w:color="auto" w:fill="auto"/>
            <w:noWrap/>
            <w:vAlign w:val="bottom"/>
            <w:hideMark/>
          </w:tcPr>
          <w:p w:rsidR="005B4233" w:rsidRDefault="005B4233">
            <w:pPr>
              <w:jc w:val="right"/>
              <w:rPr>
                <w:color w:val="000000"/>
                <w:szCs w:val="24"/>
              </w:rPr>
            </w:pPr>
            <w:r>
              <w:rPr>
                <w:color w:val="000000"/>
              </w:rPr>
              <w:t>91.2</w:t>
            </w:r>
          </w:p>
        </w:tc>
      </w:tr>
      <w:tr w:rsidR="005B4233" w:rsidTr="005B4233">
        <w:trPr>
          <w:trHeight w:val="315"/>
        </w:trPr>
        <w:tc>
          <w:tcPr>
            <w:tcW w:w="2670" w:type="dxa"/>
            <w:shd w:val="clear" w:color="auto" w:fill="auto"/>
            <w:noWrap/>
            <w:vAlign w:val="bottom"/>
            <w:hideMark/>
          </w:tcPr>
          <w:p w:rsidR="005B4233" w:rsidRDefault="005B4233">
            <w:pPr>
              <w:rPr>
                <w:color w:val="000000"/>
                <w:szCs w:val="24"/>
              </w:rPr>
            </w:pPr>
            <w:r>
              <w:rPr>
                <w:color w:val="000000"/>
              </w:rPr>
              <w:t>REI Consultants</w:t>
            </w:r>
          </w:p>
        </w:tc>
        <w:tc>
          <w:tcPr>
            <w:tcW w:w="340" w:type="dxa"/>
            <w:shd w:val="clear" w:color="auto" w:fill="auto"/>
            <w:noWrap/>
            <w:vAlign w:val="bottom"/>
            <w:hideMark/>
          </w:tcPr>
          <w:p w:rsidR="005B4233" w:rsidRDefault="005B4233">
            <w:pPr>
              <w:rPr>
                <w:color w:val="000000"/>
                <w:szCs w:val="24"/>
              </w:rPr>
            </w:pPr>
          </w:p>
        </w:tc>
        <w:tc>
          <w:tcPr>
            <w:tcW w:w="1034" w:type="dxa"/>
            <w:shd w:val="clear" w:color="auto" w:fill="auto"/>
            <w:noWrap/>
            <w:vAlign w:val="bottom"/>
            <w:hideMark/>
          </w:tcPr>
          <w:p w:rsidR="005B4233" w:rsidRDefault="005B4233">
            <w:pPr>
              <w:jc w:val="right"/>
              <w:rPr>
                <w:color w:val="000000"/>
                <w:szCs w:val="24"/>
              </w:rPr>
            </w:pPr>
            <w:r>
              <w:rPr>
                <w:color w:val="000000"/>
              </w:rPr>
              <w:t>4.4</w:t>
            </w:r>
          </w:p>
        </w:tc>
        <w:tc>
          <w:tcPr>
            <w:tcW w:w="960" w:type="dxa"/>
            <w:shd w:val="clear" w:color="auto" w:fill="auto"/>
            <w:noWrap/>
            <w:vAlign w:val="bottom"/>
            <w:hideMark/>
          </w:tcPr>
          <w:p w:rsidR="005B4233" w:rsidRDefault="005B4233">
            <w:pPr>
              <w:rPr>
                <w:color w:val="000000"/>
                <w:szCs w:val="24"/>
              </w:rPr>
            </w:pPr>
            <w:r>
              <w:rPr>
                <w:color w:val="000000"/>
              </w:rPr>
              <w:t>µg/L</w:t>
            </w:r>
          </w:p>
        </w:tc>
        <w:tc>
          <w:tcPr>
            <w:tcW w:w="1190" w:type="dxa"/>
            <w:shd w:val="clear" w:color="auto" w:fill="auto"/>
            <w:noWrap/>
            <w:vAlign w:val="bottom"/>
            <w:hideMark/>
          </w:tcPr>
          <w:p w:rsidR="005B4233" w:rsidRDefault="005B4233">
            <w:pPr>
              <w:jc w:val="right"/>
              <w:rPr>
                <w:color w:val="000000"/>
                <w:szCs w:val="24"/>
              </w:rPr>
            </w:pPr>
            <w:r>
              <w:rPr>
                <w:color w:val="000000"/>
              </w:rPr>
              <w:t>4/23/2008</w:t>
            </w:r>
          </w:p>
        </w:tc>
        <w:tc>
          <w:tcPr>
            <w:tcW w:w="1212" w:type="dxa"/>
            <w:shd w:val="clear" w:color="auto" w:fill="auto"/>
            <w:noWrap/>
            <w:vAlign w:val="bottom"/>
            <w:hideMark/>
          </w:tcPr>
          <w:p w:rsidR="005B4233" w:rsidRDefault="00436D1A">
            <w:pPr>
              <w:jc w:val="right"/>
              <w:rPr>
                <w:color w:val="000000"/>
                <w:szCs w:val="24"/>
              </w:rPr>
            </w:pPr>
            <w:r>
              <w:rPr>
                <w:color w:val="000000"/>
              </w:rPr>
              <w:t>GFAA</w:t>
            </w:r>
          </w:p>
        </w:tc>
        <w:tc>
          <w:tcPr>
            <w:tcW w:w="960" w:type="dxa"/>
            <w:shd w:val="clear" w:color="auto" w:fill="auto"/>
            <w:noWrap/>
            <w:vAlign w:val="bottom"/>
            <w:hideMark/>
          </w:tcPr>
          <w:p w:rsidR="005B4233" w:rsidRDefault="005B4233">
            <w:pPr>
              <w:jc w:val="right"/>
              <w:rPr>
                <w:color w:val="000000"/>
                <w:szCs w:val="24"/>
              </w:rPr>
            </w:pPr>
            <w:r>
              <w:rPr>
                <w:color w:val="000000"/>
              </w:rPr>
              <w:t>88.0</w:t>
            </w:r>
          </w:p>
        </w:tc>
      </w:tr>
      <w:tr w:rsidR="005B4233" w:rsidTr="005B4233">
        <w:trPr>
          <w:trHeight w:val="315"/>
        </w:trPr>
        <w:tc>
          <w:tcPr>
            <w:tcW w:w="2670" w:type="dxa"/>
            <w:shd w:val="clear" w:color="auto" w:fill="auto"/>
            <w:noWrap/>
            <w:vAlign w:val="bottom"/>
            <w:hideMark/>
          </w:tcPr>
          <w:p w:rsidR="005B4233" w:rsidRDefault="005B4233">
            <w:pPr>
              <w:rPr>
                <w:color w:val="000000"/>
                <w:szCs w:val="24"/>
              </w:rPr>
            </w:pPr>
            <w:r>
              <w:rPr>
                <w:color w:val="000000"/>
              </w:rPr>
              <w:t>Sturm Environmental</w:t>
            </w:r>
          </w:p>
        </w:tc>
        <w:tc>
          <w:tcPr>
            <w:tcW w:w="340" w:type="dxa"/>
            <w:shd w:val="clear" w:color="auto" w:fill="auto"/>
            <w:noWrap/>
            <w:vAlign w:val="bottom"/>
            <w:hideMark/>
          </w:tcPr>
          <w:p w:rsidR="005B4233" w:rsidRDefault="005B4233">
            <w:pPr>
              <w:rPr>
                <w:color w:val="000000"/>
                <w:szCs w:val="24"/>
              </w:rPr>
            </w:pPr>
          </w:p>
        </w:tc>
        <w:tc>
          <w:tcPr>
            <w:tcW w:w="1034" w:type="dxa"/>
            <w:shd w:val="clear" w:color="auto" w:fill="auto"/>
            <w:noWrap/>
            <w:vAlign w:val="bottom"/>
            <w:hideMark/>
          </w:tcPr>
          <w:p w:rsidR="005B4233" w:rsidRDefault="005B4233">
            <w:pPr>
              <w:jc w:val="right"/>
              <w:rPr>
                <w:color w:val="000000"/>
                <w:szCs w:val="24"/>
              </w:rPr>
            </w:pPr>
            <w:r>
              <w:rPr>
                <w:color w:val="000000"/>
              </w:rPr>
              <w:t>4.37</w:t>
            </w:r>
          </w:p>
        </w:tc>
        <w:tc>
          <w:tcPr>
            <w:tcW w:w="960" w:type="dxa"/>
            <w:shd w:val="clear" w:color="auto" w:fill="auto"/>
            <w:noWrap/>
            <w:vAlign w:val="bottom"/>
            <w:hideMark/>
          </w:tcPr>
          <w:p w:rsidR="005B4233" w:rsidRDefault="005B4233">
            <w:pPr>
              <w:rPr>
                <w:color w:val="000000"/>
                <w:szCs w:val="24"/>
              </w:rPr>
            </w:pPr>
            <w:r>
              <w:rPr>
                <w:color w:val="000000"/>
              </w:rPr>
              <w:t>µg/L</w:t>
            </w:r>
          </w:p>
        </w:tc>
        <w:tc>
          <w:tcPr>
            <w:tcW w:w="1190" w:type="dxa"/>
            <w:shd w:val="clear" w:color="auto" w:fill="auto"/>
            <w:noWrap/>
            <w:vAlign w:val="bottom"/>
            <w:hideMark/>
          </w:tcPr>
          <w:p w:rsidR="005B4233" w:rsidRDefault="005B4233">
            <w:pPr>
              <w:jc w:val="right"/>
              <w:rPr>
                <w:color w:val="000000"/>
                <w:szCs w:val="24"/>
              </w:rPr>
            </w:pPr>
            <w:r>
              <w:rPr>
                <w:color w:val="000000"/>
              </w:rPr>
              <w:t>4/16/2008</w:t>
            </w:r>
          </w:p>
        </w:tc>
        <w:tc>
          <w:tcPr>
            <w:tcW w:w="1212" w:type="dxa"/>
            <w:shd w:val="clear" w:color="auto" w:fill="auto"/>
            <w:noWrap/>
            <w:vAlign w:val="bottom"/>
            <w:hideMark/>
          </w:tcPr>
          <w:p w:rsidR="005B4233" w:rsidRDefault="00436D1A">
            <w:pPr>
              <w:jc w:val="right"/>
              <w:rPr>
                <w:color w:val="000000"/>
                <w:szCs w:val="24"/>
              </w:rPr>
            </w:pPr>
            <w:r>
              <w:rPr>
                <w:color w:val="000000"/>
              </w:rPr>
              <w:t>GFAA</w:t>
            </w:r>
          </w:p>
        </w:tc>
        <w:tc>
          <w:tcPr>
            <w:tcW w:w="960" w:type="dxa"/>
            <w:shd w:val="clear" w:color="auto" w:fill="auto"/>
            <w:noWrap/>
            <w:vAlign w:val="bottom"/>
            <w:hideMark/>
          </w:tcPr>
          <w:p w:rsidR="005B4233" w:rsidRDefault="005B4233">
            <w:pPr>
              <w:jc w:val="right"/>
              <w:rPr>
                <w:color w:val="000000"/>
                <w:szCs w:val="24"/>
              </w:rPr>
            </w:pPr>
            <w:r>
              <w:rPr>
                <w:color w:val="000000"/>
              </w:rPr>
              <w:t>87.4</w:t>
            </w:r>
          </w:p>
        </w:tc>
      </w:tr>
      <w:tr w:rsidR="005B4233" w:rsidTr="005B4233">
        <w:trPr>
          <w:trHeight w:val="315"/>
        </w:trPr>
        <w:tc>
          <w:tcPr>
            <w:tcW w:w="2670" w:type="dxa"/>
            <w:shd w:val="clear" w:color="auto" w:fill="auto"/>
            <w:noWrap/>
            <w:vAlign w:val="bottom"/>
            <w:hideMark/>
          </w:tcPr>
          <w:p w:rsidR="005B4233" w:rsidRDefault="005B4233">
            <w:pPr>
              <w:rPr>
                <w:color w:val="000000"/>
                <w:szCs w:val="24"/>
              </w:rPr>
            </w:pPr>
            <w:r>
              <w:rPr>
                <w:color w:val="000000"/>
              </w:rPr>
              <w:t>Standard Labs (Charleston)</w:t>
            </w:r>
          </w:p>
        </w:tc>
        <w:tc>
          <w:tcPr>
            <w:tcW w:w="340" w:type="dxa"/>
            <w:shd w:val="clear" w:color="auto" w:fill="auto"/>
            <w:noWrap/>
            <w:vAlign w:val="bottom"/>
            <w:hideMark/>
          </w:tcPr>
          <w:p w:rsidR="005B4233" w:rsidRDefault="005B4233">
            <w:pPr>
              <w:rPr>
                <w:color w:val="000000"/>
                <w:szCs w:val="24"/>
              </w:rPr>
            </w:pPr>
          </w:p>
        </w:tc>
        <w:tc>
          <w:tcPr>
            <w:tcW w:w="1034" w:type="dxa"/>
            <w:shd w:val="clear" w:color="auto" w:fill="auto"/>
            <w:noWrap/>
            <w:vAlign w:val="bottom"/>
            <w:hideMark/>
          </w:tcPr>
          <w:p w:rsidR="005B4233" w:rsidRDefault="005B4233">
            <w:pPr>
              <w:jc w:val="right"/>
              <w:rPr>
                <w:color w:val="000000"/>
                <w:szCs w:val="24"/>
              </w:rPr>
            </w:pPr>
            <w:r>
              <w:rPr>
                <w:color w:val="000000"/>
              </w:rPr>
              <w:t>5.02</w:t>
            </w:r>
          </w:p>
        </w:tc>
        <w:tc>
          <w:tcPr>
            <w:tcW w:w="960" w:type="dxa"/>
            <w:shd w:val="clear" w:color="auto" w:fill="auto"/>
            <w:noWrap/>
            <w:vAlign w:val="bottom"/>
            <w:hideMark/>
          </w:tcPr>
          <w:p w:rsidR="005B4233" w:rsidRDefault="005B4233">
            <w:pPr>
              <w:rPr>
                <w:color w:val="000000"/>
                <w:szCs w:val="24"/>
              </w:rPr>
            </w:pPr>
            <w:r>
              <w:rPr>
                <w:color w:val="000000"/>
              </w:rPr>
              <w:t>µg/L</w:t>
            </w:r>
          </w:p>
        </w:tc>
        <w:tc>
          <w:tcPr>
            <w:tcW w:w="1190" w:type="dxa"/>
            <w:shd w:val="clear" w:color="auto" w:fill="auto"/>
            <w:noWrap/>
            <w:vAlign w:val="bottom"/>
            <w:hideMark/>
          </w:tcPr>
          <w:p w:rsidR="005B4233" w:rsidRDefault="005B4233">
            <w:pPr>
              <w:jc w:val="right"/>
              <w:rPr>
                <w:color w:val="000000"/>
                <w:szCs w:val="24"/>
              </w:rPr>
            </w:pPr>
            <w:r>
              <w:rPr>
                <w:color w:val="000000"/>
              </w:rPr>
              <w:t>4/21/2008</w:t>
            </w:r>
          </w:p>
        </w:tc>
        <w:tc>
          <w:tcPr>
            <w:tcW w:w="1212" w:type="dxa"/>
            <w:shd w:val="clear" w:color="auto" w:fill="auto"/>
            <w:noWrap/>
            <w:vAlign w:val="bottom"/>
            <w:hideMark/>
          </w:tcPr>
          <w:p w:rsidR="005B4233" w:rsidRDefault="00436D1A">
            <w:pPr>
              <w:jc w:val="right"/>
              <w:rPr>
                <w:color w:val="000000"/>
                <w:szCs w:val="24"/>
              </w:rPr>
            </w:pPr>
            <w:r>
              <w:rPr>
                <w:color w:val="000000"/>
              </w:rPr>
              <w:t>GFAA</w:t>
            </w:r>
          </w:p>
        </w:tc>
        <w:tc>
          <w:tcPr>
            <w:tcW w:w="960" w:type="dxa"/>
            <w:shd w:val="clear" w:color="auto" w:fill="auto"/>
            <w:noWrap/>
            <w:vAlign w:val="bottom"/>
            <w:hideMark/>
          </w:tcPr>
          <w:p w:rsidR="005B4233" w:rsidRDefault="005B4233">
            <w:pPr>
              <w:jc w:val="right"/>
              <w:rPr>
                <w:color w:val="000000"/>
                <w:szCs w:val="24"/>
              </w:rPr>
            </w:pPr>
            <w:r>
              <w:rPr>
                <w:color w:val="000000"/>
              </w:rPr>
              <w:t>100.4</w:t>
            </w:r>
          </w:p>
        </w:tc>
      </w:tr>
      <w:tr w:rsidR="005B4233" w:rsidTr="005B4233">
        <w:trPr>
          <w:trHeight w:val="315"/>
        </w:trPr>
        <w:tc>
          <w:tcPr>
            <w:tcW w:w="2670" w:type="dxa"/>
            <w:shd w:val="clear" w:color="auto" w:fill="auto"/>
            <w:noWrap/>
            <w:vAlign w:val="bottom"/>
            <w:hideMark/>
          </w:tcPr>
          <w:p w:rsidR="005B4233" w:rsidRDefault="005B4233">
            <w:pPr>
              <w:rPr>
                <w:color w:val="000000"/>
                <w:szCs w:val="24"/>
              </w:rPr>
            </w:pPr>
            <w:r>
              <w:rPr>
                <w:color w:val="000000"/>
              </w:rPr>
              <w:t>Acculab</w:t>
            </w:r>
          </w:p>
        </w:tc>
        <w:tc>
          <w:tcPr>
            <w:tcW w:w="340" w:type="dxa"/>
            <w:shd w:val="clear" w:color="auto" w:fill="auto"/>
            <w:noWrap/>
            <w:vAlign w:val="bottom"/>
            <w:hideMark/>
          </w:tcPr>
          <w:p w:rsidR="005B4233" w:rsidRDefault="005B4233">
            <w:pPr>
              <w:rPr>
                <w:color w:val="000000"/>
                <w:szCs w:val="24"/>
              </w:rPr>
            </w:pPr>
          </w:p>
        </w:tc>
        <w:tc>
          <w:tcPr>
            <w:tcW w:w="1034" w:type="dxa"/>
            <w:shd w:val="clear" w:color="auto" w:fill="auto"/>
            <w:noWrap/>
            <w:vAlign w:val="bottom"/>
            <w:hideMark/>
          </w:tcPr>
          <w:p w:rsidR="005B4233" w:rsidRDefault="005B4233">
            <w:pPr>
              <w:jc w:val="right"/>
              <w:rPr>
                <w:color w:val="000000"/>
                <w:szCs w:val="24"/>
              </w:rPr>
            </w:pPr>
            <w:r>
              <w:rPr>
                <w:color w:val="000000"/>
              </w:rPr>
              <w:t>4.7</w:t>
            </w:r>
          </w:p>
        </w:tc>
        <w:tc>
          <w:tcPr>
            <w:tcW w:w="960" w:type="dxa"/>
            <w:shd w:val="clear" w:color="auto" w:fill="auto"/>
            <w:noWrap/>
            <w:vAlign w:val="bottom"/>
            <w:hideMark/>
          </w:tcPr>
          <w:p w:rsidR="005B4233" w:rsidRDefault="005B4233">
            <w:pPr>
              <w:rPr>
                <w:color w:val="000000"/>
                <w:szCs w:val="24"/>
              </w:rPr>
            </w:pPr>
            <w:r>
              <w:rPr>
                <w:color w:val="000000"/>
              </w:rPr>
              <w:t>µg/L</w:t>
            </w:r>
          </w:p>
        </w:tc>
        <w:tc>
          <w:tcPr>
            <w:tcW w:w="1190" w:type="dxa"/>
            <w:shd w:val="clear" w:color="auto" w:fill="auto"/>
            <w:noWrap/>
            <w:vAlign w:val="bottom"/>
            <w:hideMark/>
          </w:tcPr>
          <w:p w:rsidR="005B4233" w:rsidRDefault="005B4233">
            <w:pPr>
              <w:jc w:val="right"/>
              <w:rPr>
                <w:color w:val="000000"/>
                <w:szCs w:val="24"/>
              </w:rPr>
            </w:pPr>
            <w:r>
              <w:rPr>
                <w:color w:val="000000"/>
              </w:rPr>
              <w:t>4/14/2008</w:t>
            </w:r>
          </w:p>
        </w:tc>
        <w:tc>
          <w:tcPr>
            <w:tcW w:w="1212" w:type="dxa"/>
            <w:shd w:val="clear" w:color="auto" w:fill="auto"/>
            <w:noWrap/>
            <w:vAlign w:val="bottom"/>
            <w:hideMark/>
          </w:tcPr>
          <w:p w:rsidR="005B4233" w:rsidRDefault="00436D1A">
            <w:pPr>
              <w:jc w:val="right"/>
              <w:rPr>
                <w:color w:val="000000"/>
                <w:szCs w:val="24"/>
              </w:rPr>
            </w:pPr>
            <w:r>
              <w:rPr>
                <w:color w:val="000000"/>
              </w:rPr>
              <w:t>GFAA</w:t>
            </w:r>
          </w:p>
        </w:tc>
        <w:tc>
          <w:tcPr>
            <w:tcW w:w="960" w:type="dxa"/>
            <w:shd w:val="clear" w:color="auto" w:fill="auto"/>
            <w:noWrap/>
            <w:vAlign w:val="bottom"/>
            <w:hideMark/>
          </w:tcPr>
          <w:p w:rsidR="005B4233" w:rsidRDefault="005B4233">
            <w:pPr>
              <w:jc w:val="right"/>
              <w:rPr>
                <w:color w:val="000000"/>
                <w:szCs w:val="24"/>
              </w:rPr>
            </w:pPr>
            <w:r>
              <w:rPr>
                <w:color w:val="000000"/>
              </w:rPr>
              <w:t>94.0</w:t>
            </w:r>
          </w:p>
        </w:tc>
      </w:tr>
      <w:tr w:rsidR="005B4233" w:rsidTr="005B4233">
        <w:trPr>
          <w:trHeight w:val="315"/>
        </w:trPr>
        <w:tc>
          <w:tcPr>
            <w:tcW w:w="2670" w:type="dxa"/>
            <w:shd w:val="clear" w:color="auto" w:fill="auto"/>
            <w:noWrap/>
            <w:vAlign w:val="bottom"/>
            <w:hideMark/>
          </w:tcPr>
          <w:p w:rsidR="005B4233" w:rsidRDefault="005B4233">
            <w:pPr>
              <w:rPr>
                <w:color w:val="000000"/>
                <w:szCs w:val="24"/>
              </w:rPr>
            </w:pPr>
            <w:r>
              <w:rPr>
                <w:color w:val="000000"/>
              </w:rPr>
              <w:t>Compliance Monitoring</w:t>
            </w:r>
          </w:p>
        </w:tc>
        <w:tc>
          <w:tcPr>
            <w:tcW w:w="340" w:type="dxa"/>
            <w:shd w:val="clear" w:color="auto" w:fill="auto"/>
            <w:noWrap/>
            <w:vAlign w:val="bottom"/>
            <w:hideMark/>
          </w:tcPr>
          <w:p w:rsidR="005B4233" w:rsidRDefault="005B4233">
            <w:pPr>
              <w:rPr>
                <w:color w:val="000000"/>
                <w:szCs w:val="24"/>
              </w:rPr>
            </w:pPr>
          </w:p>
        </w:tc>
        <w:tc>
          <w:tcPr>
            <w:tcW w:w="1034" w:type="dxa"/>
            <w:shd w:val="clear" w:color="auto" w:fill="auto"/>
            <w:noWrap/>
            <w:vAlign w:val="bottom"/>
            <w:hideMark/>
          </w:tcPr>
          <w:p w:rsidR="005B4233" w:rsidRDefault="005B4233">
            <w:pPr>
              <w:jc w:val="right"/>
              <w:rPr>
                <w:color w:val="000000"/>
                <w:szCs w:val="24"/>
              </w:rPr>
            </w:pPr>
            <w:r>
              <w:rPr>
                <w:color w:val="000000"/>
              </w:rPr>
              <w:t>5.95</w:t>
            </w:r>
          </w:p>
        </w:tc>
        <w:tc>
          <w:tcPr>
            <w:tcW w:w="960" w:type="dxa"/>
            <w:shd w:val="clear" w:color="auto" w:fill="auto"/>
            <w:noWrap/>
            <w:vAlign w:val="bottom"/>
            <w:hideMark/>
          </w:tcPr>
          <w:p w:rsidR="005B4233" w:rsidRDefault="005B4233">
            <w:pPr>
              <w:rPr>
                <w:color w:val="000000"/>
                <w:szCs w:val="24"/>
              </w:rPr>
            </w:pPr>
            <w:r>
              <w:rPr>
                <w:color w:val="000000"/>
              </w:rPr>
              <w:t>µg/L</w:t>
            </w:r>
          </w:p>
        </w:tc>
        <w:tc>
          <w:tcPr>
            <w:tcW w:w="1190" w:type="dxa"/>
            <w:shd w:val="clear" w:color="auto" w:fill="auto"/>
            <w:noWrap/>
            <w:vAlign w:val="bottom"/>
            <w:hideMark/>
          </w:tcPr>
          <w:p w:rsidR="005B4233" w:rsidRDefault="005B4233">
            <w:pPr>
              <w:jc w:val="right"/>
              <w:rPr>
                <w:color w:val="000000"/>
                <w:szCs w:val="24"/>
              </w:rPr>
            </w:pPr>
            <w:r>
              <w:rPr>
                <w:color w:val="000000"/>
              </w:rPr>
              <w:t>4/22/2008</w:t>
            </w:r>
          </w:p>
        </w:tc>
        <w:tc>
          <w:tcPr>
            <w:tcW w:w="1212" w:type="dxa"/>
            <w:shd w:val="clear" w:color="auto" w:fill="auto"/>
            <w:noWrap/>
            <w:vAlign w:val="bottom"/>
            <w:hideMark/>
          </w:tcPr>
          <w:p w:rsidR="005B4233" w:rsidRDefault="00436D1A">
            <w:pPr>
              <w:jc w:val="right"/>
              <w:rPr>
                <w:color w:val="000000"/>
                <w:szCs w:val="24"/>
              </w:rPr>
            </w:pPr>
            <w:r>
              <w:rPr>
                <w:color w:val="000000"/>
              </w:rPr>
              <w:t>GFAA</w:t>
            </w:r>
          </w:p>
        </w:tc>
        <w:tc>
          <w:tcPr>
            <w:tcW w:w="960" w:type="dxa"/>
            <w:shd w:val="clear" w:color="auto" w:fill="auto"/>
            <w:noWrap/>
            <w:vAlign w:val="bottom"/>
            <w:hideMark/>
          </w:tcPr>
          <w:p w:rsidR="005B4233" w:rsidRDefault="005B4233">
            <w:pPr>
              <w:jc w:val="right"/>
              <w:rPr>
                <w:color w:val="000000"/>
                <w:szCs w:val="24"/>
              </w:rPr>
            </w:pPr>
            <w:r>
              <w:rPr>
                <w:color w:val="000000"/>
              </w:rPr>
              <w:t>119.0</w:t>
            </w:r>
          </w:p>
        </w:tc>
      </w:tr>
      <w:tr w:rsidR="005B4233" w:rsidTr="005B4233">
        <w:trPr>
          <w:trHeight w:val="315"/>
        </w:trPr>
        <w:tc>
          <w:tcPr>
            <w:tcW w:w="2670" w:type="dxa"/>
            <w:shd w:val="clear" w:color="auto" w:fill="auto"/>
            <w:noWrap/>
            <w:vAlign w:val="bottom"/>
            <w:hideMark/>
          </w:tcPr>
          <w:p w:rsidR="005B4233" w:rsidRDefault="005B4233">
            <w:pPr>
              <w:rPr>
                <w:color w:val="000000"/>
                <w:szCs w:val="24"/>
              </w:rPr>
            </w:pPr>
            <w:r>
              <w:rPr>
                <w:color w:val="000000"/>
              </w:rPr>
              <w:t>SGS</w:t>
            </w:r>
          </w:p>
        </w:tc>
        <w:tc>
          <w:tcPr>
            <w:tcW w:w="340" w:type="dxa"/>
            <w:shd w:val="clear" w:color="auto" w:fill="auto"/>
            <w:noWrap/>
            <w:vAlign w:val="bottom"/>
            <w:hideMark/>
          </w:tcPr>
          <w:p w:rsidR="005B4233" w:rsidRDefault="005B4233">
            <w:pPr>
              <w:rPr>
                <w:color w:val="000000"/>
                <w:szCs w:val="24"/>
              </w:rPr>
            </w:pPr>
          </w:p>
        </w:tc>
        <w:tc>
          <w:tcPr>
            <w:tcW w:w="1034" w:type="dxa"/>
            <w:shd w:val="clear" w:color="auto" w:fill="auto"/>
            <w:noWrap/>
            <w:vAlign w:val="bottom"/>
            <w:hideMark/>
          </w:tcPr>
          <w:p w:rsidR="005B4233" w:rsidRDefault="005B4233">
            <w:pPr>
              <w:jc w:val="right"/>
              <w:rPr>
                <w:color w:val="000000"/>
                <w:szCs w:val="24"/>
              </w:rPr>
            </w:pPr>
            <w:r>
              <w:rPr>
                <w:color w:val="000000"/>
              </w:rPr>
              <w:t>4.7</w:t>
            </w:r>
          </w:p>
        </w:tc>
        <w:tc>
          <w:tcPr>
            <w:tcW w:w="960" w:type="dxa"/>
            <w:shd w:val="clear" w:color="auto" w:fill="auto"/>
            <w:noWrap/>
            <w:vAlign w:val="bottom"/>
            <w:hideMark/>
          </w:tcPr>
          <w:p w:rsidR="005B4233" w:rsidRDefault="005B4233">
            <w:pPr>
              <w:rPr>
                <w:color w:val="000000"/>
                <w:szCs w:val="24"/>
              </w:rPr>
            </w:pPr>
            <w:r>
              <w:rPr>
                <w:color w:val="000000"/>
              </w:rPr>
              <w:t>µg/L</w:t>
            </w:r>
          </w:p>
        </w:tc>
        <w:tc>
          <w:tcPr>
            <w:tcW w:w="1190" w:type="dxa"/>
            <w:shd w:val="clear" w:color="auto" w:fill="auto"/>
            <w:noWrap/>
            <w:vAlign w:val="bottom"/>
            <w:hideMark/>
          </w:tcPr>
          <w:p w:rsidR="005B4233" w:rsidRDefault="005B4233">
            <w:pPr>
              <w:jc w:val="right"/>
              <w:rPr>
                <w:color w:val="000000"/>
                <w:szCs w:val="24"/>
              </w:rPr>
            </w:pPr>
            <w:r>
              <w:rPr>
                <w:color w:val="000000"/>
              </w:rPr>
              <w:t>4/17/2008</w:t>
            </w:r>
          </w:p>
        </w:tc>
        <w:tc>
          <w:tcPr>
            <w:tcW w:w="1212" w:type="dxa"/>
            <w:shd w:val="clear" w:color="auto" w:fill="auto"/>
            <w:noWrap/>
            <w:vAlign w:val="bottom"/>
            <w:hideMark/>
          </w:tcPr>
          <w:p w:rsidR="005B4233" w:rsidRDefault="00436D1A">
            <w:pPr>
              <w:jc w:val="right"/>
              <w:rPr>
                <w:color w:val="000000"/>
                <w:szCs w:val="24"/>
              </w:rPr>
            </w:pPr>
            <w:r>
              <w:rPr>
                <w:color w:val="000000"/>
              </w:rPr>
              <w:t>GFAA</w:t>
            </w:r>
          </w:p>
        </w:tc>
        <w:tc>
          <w:tcPr>
            <w:tcW w:w="960" w:type="dxa"/>
            <w:shd w:val="clear" w:color="auto" w:fill="auto"/>
            <w:noWrap/>
            <w:vAlign w:val="bottom"/>
            <w:hideMark/>
          </w:tcPr>
          <w:p w:rsidR="005B4233" w:rsidRDefault="005B4233">
            <w:pPr>
              <w:jc w:val="right"/>
              <w:rPr>
                <w:color w:val="000000"/>
                <w:szCs w:val="24"/>
              </w:rPr>
            </w:pPr>
            <w:r>
              <w:rPr>
                <w:color w:val="000000"/>
              </w:rPr>
              <w:t>94.0</w:t>
            </w:r>
          </w:p>
        </w:tc>
      </w:tr>
      <w:tr w:rsidR="005B4233" w:rsidTr="005B4233">
        <w:trPr>
          <w:trHeight w:val="315"/>
        </w:trPr>
        <w:tc>
          <w:tcPr>
            <w:tcW w:w="2670" w:type="dxa"/>
            <w:shd w:val="clear" w:color="auto" w:fill="auto"/>
            <w:noWrap/>
            <w:vAlign w:val="bottom"/>
            <w:hideMark/>
          </w:tcPr>
          <w:p w:rsidR="005B4233" w:rsidRDefault="005B4233">
            <w:pPr>
              <w:rPr>
                <w:color w:val="000000"/>
                <w:szCs w:val="24"/>
              </w:rPr>
            </w:pPr>
            <w:r>
              <w:rPr>
                <w:color w:val="000000"/>
              </w:rPr>
              <w:t>REI Consultants</w:t>
            </w:r>
          </w:p>
        </w:tc>
        <w:tc>
          <w:tcPr>
            <w:tcW w:w="340" w:type="dxa"/>
            <w:shd w:val="clear" w:color="auto" w:fill="auto"/>
            <w:noWrap/>
            <w:vAlign w:val="bottom"/>
            <w:hideMark/>
          </w:tcPr>
          <w:p w:rsidR="005B4233" w:rsidRDefault="005B4233">
            <w:pPr>
              <w:rPr>
                <w:color w:val="000000"/>
                <w:szCs w:val="24"/>
              </w:rPr>
            </w:pPr>
          </w:p>
        </w:tc>
        <w:tc>
          <w:tcPr>
            <w:tcW w:w="1034" w:type="dxa"/>
            <w:shd w:val="clear" w:color="auto" w:fill="auto"/>
            <w:noWrap/>
            <w:vAlign w:val="bottom"/>
            <w:hideMark/>
          </w:tcPr>
          <w:p w:rsidR="005B4233" w:rsidRDefault="005B4233">
            <w:pPr>
              <w:jc w:val="right"/>
              <w:rPr>
                <w:color w:val="000000"/>
                <w:szCs w:val="24"/>
              </w:rPr>
            </w:pPr>
            <w:r>
              <w:rPr>
                <w:color w:val="000000"/>
              </w:rPr>
              <w:t>4.52</w:t>
            </w:r>
          </w:p>
        </w:tc>
        <w:tc>
          <w:tcPr>
            <w:tcW w:w="960" w:type="dxa"/>
            <w:shd w:val="clear" w:color="auto" w:fill="auto"/>
            <w:noWrap/>
            <w:vAlign w:val="bottom"/>
            <w:hideMark/>
          </w:tcPr>
          <w:p w:rsidR="005B4233" w:rsidRDefault="005B4233">
            <w:pPr>
              <w:rPr>
                <w:color w:val="000000"/>
                <w:szCs w:val="24"/>
              </w:rPr>
            </w:pPr>
            <w:r>
              <w:rPr>
                <w:color w:val="000000"/>
              </w:rPr>
              <w:t>µg/L</w:t>
            </w:r>
          </w:p>
        </w:tc>
        <w:tc>
          <w:tcPr>
            <w:tcW w:w="1190" w:type="dxa"/>
            <w:shd w:val="clear" w:color="auto" w:fill="auto"/>
            <w:noWrap/>
            <w:vAlign w:val="bottom"/>
            <w:hideMark/>
          </w:tcPr>
          <w:p w:rsidR="005B4233" w:rsidRDefault="005B4233">
            <w:pPr>
              <w:jc w:val="right"/>
              <w:rPr>
                <w:color w:val="000000"/>
                <w:szCs w:val="24"/>
              </w:rPr>
            </w:pPr>
            <w:r>
              <w:rPr>
                <w:color w:val="000000"/>
              </w:rPr>
              <w:t>4/23/2008</w:t>
            </w:r>
          </w:p>
        </w:tc>
        <w:tc>
          <w:tcPr>
            <w:tcW w:w="1212" w:type="dxa"/>
            <w:shd w:val="clear" w:color="auto" w:fill="auto"/>
            <w:noWrap/>
            <w:vAlign w:val="bottom"/>
            <w:hideMark/>
          </w:tcPr>
          <w:p w:rsidR="005B4233" w:rsidRDefault="00436D1A">
            <w:pPr>
              <w:jc w:val="right"/>
              <w:rPr>
                <w:color w:val="000000"/>
                <w:szCs w:val="24"/>
              </w:rPr>
            </w:pPr>
            <w:r>
              <w:rPr>
                <w:color w:val="000000"/>
              </w:rPr>
              <w:t>ICP-MS</w:t>
            </w:r>
          </w:p>
        </w:tc>
        <w:tc>
          <w:tcPr>
            <w:tcW w:w="960" w:type="dxa"/>
            <w:shd w:val="clear" w:color="auto" w:fill="auto"/>
            <w:noWrap/>
            <w:vAlign w:val="bottom"/>
            <w:hideMark/>
          </w:tcPr>
          <w:p w:rsidR="005B4233" w:rsidRDefault="005B4233">
            <w:pPr>
              <w:jc w:val="right"/>
              <w:rPr>
                <w:color w:val="000000"/>
                <w:szCs w:val="24"/>
              </w:rPr>
            </w:pPr>
            <w:r>
              <w:rPr>
                <w:color w:val="000000"/>
              </w:rPr>
              <w:t>90.4</w:t>
            </w:r>
          </w:p>
        </w:tc>
      </w:tr>
      <w:tr w:rsidR="005B4233" w:rsidTr="005B4233">
        <w:trPr>
          <w:trHeight w:val="315"/>
        </w:trPr>
        <w:tc>
          <w:tcPr>
            <w:tcW w:w="2670" w:type="dxa"/>
            <w:shd w:val="clear" w:color="auto" w:fill="auto"/>
            <w:noWrap/>
            <w:vAlign w:val="bottom"/>
            <w:hideMark/>
          </w:tcPr>
          <w:p w:rsidR="005B4233" w:rsidRDefault="005B4233">
            <w:pPr>
              <w:rPr>
                <w:color w:val="000000"/>
                <w:szCs w:val="24"/>
              </w:rPr>
            </w:pPr>
            <w:r>
              <w:rPr>
                <w:color w:val="000000"/>
              </w:rPr>
              <w:t>American Elec. Power</w:t>
            </w:r>
          </w:p>
        </w:tc>
        <w:tc>
          <w:tcPr>
            <w:tcW w:w="340" w:type="dxa"/>
            <w:shd w:val="clear" w:color="auto" w:fill="auto"/>
            <w:noWrap/>
            <w:vAlign w:val="bottom"/>
            <w:hideMark/>
          </w:tcPr>
          <w:p w:rsidR="005B4233" w:rsidRDefault="005B4233">
            <w:pPr>
              <w:rPr>
                <w:color w:val="000000"/>
                <w:szCs w:val="24"/>
              </w:rPr>
            </w:pPr>
          </w:p>
        </w:tc>
        <w:tc>
          <w:tcPr>
            <w:tcW w:w="1034" w:type="dxa"/>
            <w:shd w:val="clear" w:color="auto" w:fill="auto"/>
            <w:noWrap/>
            <w:vAlign w:val="bottom"/>
            <w:hideMark/>
          </w:tcPr>
          <w:p w:rsidR="005B4233" w:rsidRDefault="005B4233">
            <w:pPr>
              <w:jc w:val="right"/>
              <w:rPr>
                <w:color w:val="000000"/>
                <w:szCs w:val="24"/>
              </w:rPr>
            </w:pPr>
            <w:r>
              <w:rPr>
                <w:color w:val="000000"/>
              </w:rPr>
              <w:t>4.8</w:t>
            </w:r>
          </w:p>
        </w:tc>
        <w:tc>
          <w:tcPr>
            <w:tcW w:w="960" w:type="dxa"/>
            <w:shd w:val="clear" w:color="auto" w:fill="auto"/>
            <w:noWrap/>
            <w:vAlign w:val="bottom"/>
            <w:hideMark/>
          </w:tcPr>
          <w:p w:rsidR="005B4233" w:rsidRDefault="005B4233">
            <w:pPr>
              <w:rPr>
                <w:color w:val="000000"/>
                <w:szCs w:val="24"/>
              </w:rPr>
            </w:pPr>
            <w:r>
              <w:rPr>
                <w:color w:val="000000"/>
              </w:rPr>
              <w:t>µg/L</w:t>
            </w:r>
          </w:p>
        </w:tc>
        <w:tc>
          <w:tcPr>
            <w:tcW w:w="1190" w:type="dxa"/>
            <w:shd w:val="clear" w:color="auto" w:fill="auto"/>
            <w:noWrap/>
            <w:vAlign w:val="bottom"/>
            <w:hideMark/>
          </w:tcPr>
          <w:p w:rsidR="005B4233" w:rsidRDefault="005B4233">
            <w:pPr>
              <w:jc w:val="right"/>
              <w:rPr>
                <w:color w:val="000000"/>
                <w:szCs w:val="24"/>
              </w:rPr>
            </w:pPr>
            <w:r>
              <w:rPr>
                <w:color w:val="000000"/>
              </w:rPr>
              <w:t>5/12/2008</w:t>
            </w:r>
          </w:p>
        </w:tc>
        <w:tc>
          <w:tcPr>
            <w:tcW w:w="1212" w:type="dxa"/>
            <w:shd w:val="clear" w:color="auto" w:fill="auto"/>
            <w:noWrap/>
            <w:vAlign w:val="bottom"/>
            <w:hideMark/>
          </w:tcPr>
          <w:p w:rsidR="005B4233" w:rsidRDefault="00436D1A">
            <w:pPr>
              <w:jc w:val="right"/>
              <w:rPr>
                <w:color w:val="000000"/>
                <w:szCs w:val="24"/>
              </w:rPr>
            </w:pPr>
            <w:r>
              <w:rPr>
                <w:color w:val="000000"/>
              </w:rPr>
              <w:t>ICP-MS</w:t>
            </w:r>
          </w:p>
        </w:tc>
        <w:tc>
          <w:tcPr>
            <w:tcW w:w="960" w:type="dxa"/>
            <w:shd w:val="clear" w:color="auto" w:fill="auto"/>
            <w:noWrap/>
            <w:vAlign w:val="bottom"/>
            <w:hideMark/>
          </w:tcPr>
          <w:p w:rsidR="005B4233" w:rsidRDefault="005B4233">
            <w:pPr>
              <w:jc w:val="right"/>
              <w:rPr>
                <w:color w:val="000000"/>
                <w:szCs w:val="24"/>
              </w:rPr>
            </w:pPr>
            <w:r>
              <w:rPr>
                <w:color w:val="000000"/>
              </w:rPr>
              <w:t>96.0</w:t>
            </w:r>
          </w:p>
        </w:tc>
      </w:tr>
      <w:tr w:rsidR="005B4233" w:rsidTr="005B4233">
        <w:trPr>
          <w:trHeight w:val="315"/>
        </w:trPr>
        <w:tc>
          <w:tcPr>
            <w:tcW w:w="2670" w:type="dxa"/>
            <w:shd w:val="clear" w:color="auto" w:fill="auto"/>
            <w:noWrap/>
            <w:vAlign w:val="bottom"/>
            <w:hideMark/>
          </w:tcPr>
          <w:p w:rsidR="005B4233" w:rsidRDefault="005B4233">
            <w:pPr>
              <w:rPr>
                <w:color w:val="000000"/>
                <w:szCs w:val="24"/>
              </w:rPr>
            </w:pPr>
            <w:r>
              <w:rPr>
                <w:color w:val="000000"/>
              </w:rPr>
              <w:t>Analabs</w:t>
            </w:r>
          </w:p>
        </w:tc>
        <w:tc>
          <w:tcPr>
            <w:tcW w:w="340" w:type="dxa"/>
            <w:shd w:val="clear" w:color="auto" w:fill="auto"/>
            <w:noWrap/>
            <w:vAlign w:val="bottom"/>
            <w:hideMark/>
          </w:tcPr>
          <w:p w:rsidR="005B4233" w:rsidRDefault="005B4233">
            <w:pPr>
              <w:rPr>
                <w:color w:val="000000"/>
                <w:szCs w:val="24"/>
              </w:rPr>
            </w:pPr>
          </w:p>
        </w:tc>
        <w:tc>
          <w:tcPr>
            <w:tcW w:w="1034" w:type="dxa"/>
            <w:shd w:val="clear" w:color="auto" w:fill="auto"/>
            <w:noWrap/>
            <w:vAlign w:val="bottom"/>
            <w:hideMark/>
          </w:tcPr>
          <w:p w:rsidR="005B4233" w:rsidRDefault="005B4233">
            <w:pPr>
              <w:jc w:val="right"/>
              <w:rPr>
                <w:color w:val="000000"/>
                <w:szCs w:val="24"/>
              </w:rPr>
            </w:pPr>
            <w:r>
              <w:rPr>
                <w:color w:val="000000"/>
              </w:rPr>
              <w:t>5.32</w:t>
            </w:r>
          </w:p>
        </w:tc>
        <w:tc>
          <w:tcPr>
            <w:tcW w:w="960" w:type="dxa"/>
            <w:shd w:val="clear" w:color="auto" w:fill="auto"/>
            <w:noWrap/>
            <w:vAlign w:val="bottom"/>
            <w:hideMark/>
          </w:tcPr>
          <w:p w:rsidR="005B4233" w:rsidRDefault="005B4233">
            <w:pPr>
              <w:rPr>
                <w:color w:val="000000"/>
                <w:szCs w:val="24"/>
              </w:rPr>
            </w:pPr>
            <w:r>
              <w:rPr>
                <w:color w:val="000000"/>
              </w:rPr>
              <w:t>µg/L</w:t>
            </w:r>
          </w:p>
        </w:tc>
        <w:tc>
          <w:tcPr>
            <w:tcW w:w="1190" w:type="dxa"/>
            <w:shd w:val="clear" w:color="auto" w:fill="auto"/>
            <w:noWrap/>
            <w:vAlign w:val="bottom"/>
            <w:hideMark/>
          </w:tcPr>
          <w:p w:rsidR="005B4233" w:rsidRDefault="005B4233">
            <w:pPr>
              <w:jc w:val="right"/>
              <w:rPr>
                <w:color w:val="000000"/>
                <w:szCs w:val="24"/>
              </w:rPr>
            </w:pPr>
            <w:r>
              <w:rPr>
                <w:color w:val="000000"/>
              </w:rPr>
              <w:t>4/26/2008</w:t>
            </w:r>
          </w:p>
        </w:tc>
        <w:tc>
          <w:tcPr>
            <w:tcW w:w="1212" w:type="dxa"/>
            <w:shd w:val="clear" w:color="auto" w:fill="auto"/>
            <w:noWrap/>
            <w:vAlign w:val="bottom"/>
            <w:hideMark/>
          </w:tcPr>
          <w:p w:rsidR="005B4233" w:rsidRDefault="00436D1A">
            <w:pPr>
              <w:jc w:val="right"/>
              <w:rPr>
                <w:color w:val="000000"/>
                <w:szCs w:val="24"/>
              </w:rPr>
            </w:pPr>
            <w:r>
              <w:rPr>
                <w:color w:val="000000"/>
              </w:rPr>
              <w:t>ICP-MS</w:t>
            </w:r>
          </w:p>
        </w:tc>
        <w:tc>
          <w:tcPr>
            <w:tcW w:w="960" w:type="dxa"/>
            <w:shd w:val="clear" w:color="auto" w:fill="auto"/>
            <w:noWrap/>
            <w:vAlign w:val="bottom"/>
            <w:hideMark/>
          </w:tcPr>
          <w:p w:rsidR="005B4233" w:rsidRDefault="005B4233">
            <w:pPr>
              <w:jc w:val="right"/>
              <w:rPr>
                <w:color w:val="000000"/>
                <w:szCs w:val="24"/>
              </w:rPr>
            </w:pPr>
            <w:r>
              <w:rPr>
                <w:color w:val="000000"/>
              </w:rPr>
              <w:t>106.4</w:t>
            </w:r>
          </w:p>
        </w:tc>
      </w:tr>
      <w:tr w:rsidR="005B4233" w:rsidTr="005B4233">
        <w:trPr>
          <w:trHeight w:val="315"/>
        </w:trPr>
        <w:tc>
          <w:tcPr>
            <w:tcW w:w="2670" w:type="dxa"/>
            <w:shd w:val="clear" w:color="auto" w:fill="auto"/>
            <w:noWrap/>
            <w:vAlign w:val="bottom"/>
            <w:hideMark/>
          </w:tcPr>
          <w:p w:rsidR="005B4233" w:rsidRDefault="005B4233">
            <w:pPr>
              <w:rPr>
                <w:color w:val="000000"/>
                <w:szCs w:val="24"/>
              </w:rPr>
            </w:pPr>
            <w:r>
              <w:rPr>
                <w:color w:val="000000"/>
              </w:rPr>
              <w:t>Tra-Det</w:t>
            </w:r>
          </w:p>
        </w:tc>
        <w:tc>
          <w:tcPr>
            <w:tcW w:w="340" w:type="dxa"/>
            <w:shd w:val="clear" w:color="auto" w:fill="auto"/>
            <w:noWrap/>
            <w:vAlign w:val="bottom"/>
            <w:hideMark/>
          </w:tcPr>
          <w:p w:rsidR="005B4233" w:rsidRDefault="005B4233">
            <w:pPr>
              <w:rPr>
                <w:color w:val="000000"/>
                <w:szCs w:val="24"/>
              </w:rPr>
            </w:pPr>
          </w:p>
        </w:tc>
        <w:tc>
          <w:tcPr>
            <w:tcW w:w="1034" w:type="dxa"/>
            <w:shd w:val="clear" w:color="auto" w:fill="auto"/>
            <w:noWrap/>
            <w:vAlign w:val="bottom"/>
            <w:hideMark/>
          </w:tcPr>
          <w:p w:rsidR="005B4233" w:rsidRDefault="005B4233">
            <w:pPr>
              <w:jc w:val="right"/>
              <w:rPr>
                <w:color w:val="000000"/>
                <w:szCs w:val="24"/>
              </w:rPr>
            </w:pPr>
            <w:r>
              <w:rPr>
                <w:color w:val="000000"/>
              </w:rPr>
              <w:t>3.9</w:t>
            </w:r>
          </w:p>
        </w:tc>
        <w:tc>
          <w:tcPr>
            <w:tcW w:w="960" w:type="dxa"/>
            <w:shd w:val="clear" w:color="auto" w:fill="auto"/>
            <w:noWrap/>
            <w:vAlign w:val="bottom"/>
            <w:hideMark/>
          </w:tcPr>
          <w:p w:rsidR="005B4233" w:rsidRDefault="005B4233">
            <w:pPr>
              <w:rPr>
                <w:color w:val="000000"/>
                <w:szCs w:val="24"/>
              </w:rPr>
            </w:pPr>
            <w:r>
              <w:rPr>
                <w:color w:val="000000"/>
              </w:rPr>
              <w:t>µg/L</w:t>
            </w:r>
          </w:p>
        </w:tc>
        <w:tc>
          <w:tcPr>
            <w:tcW w:w="1190" w:type="dxa"/>
            <w:shd w:val="clear" w:color="auto" w:fill="auto"/>
            <w:noWrap/>
            <w:vAlign w:val="bottom"/>
            <w:hideMark/>
          </w:tcPr>
          <w:p w:rsidR="005B4233" w:rsidRDefault="005B4233">
            <w:pPr>
              <w:jc w:val="right"/>
              <w:rPr>
                <w:color w:val="000000"/>
                <w:szCs w:val="24"/>
              </w:rPr>
            </w:pPr>
            <w:r>
              <w:rPr>
                <w:color w:val="000000"/>
              </w:rPr>
              <w:t>4/29/2008</w:t>
            </w:r>
          </w:p>
        </w:tc>
        <w:tc>
          <w:tcPr>
            <w:tcW w:w="1212" w:type="dxa"/>
            <w:shd w:val="clear" w:color="auto" w:fill="auto"/>
            <w:noWrap/>
            <w:vAlign w:val="bottom"/>
            <w:hideMark/>
          </w:tcPr>
          <w:p w:rsidR="005B4233" w:rsidRDefault="00436D1A">
            <w:pPr>
              <w:jc w:val="right"/>
              <w:rPr>
                <w:color w:val="000000"/>
                <w:szCs w:val="24"/>
              </w:rPr>
            </w:pPr>
            <w:r>
              <w:rPr>
                <w:color w:val="000000"/>
              </w:rPr>
              <w:t>GH-AA</w:t>
            </w:r>
          </w:p>
        </w:tc>
        <w:tc>
          <w:tcPr>
            <w:tcW w:w="960" w:type="dxa"/>
            <w:shd w:val="clear" w:color="auto" w:fill="auto"/>
            <w:noWrap/>
            <w:vAlign w:val="bottom"/>
            <w:hideMark/>
          </w:tcPr>
          <w:p w:rsidR="005B4233" w:rsidRDefault="005B4233">
            <w:pPr>
              <w:jc w:val="right"/>
              <w:rPr>
                <w:color w:val="000000"/>
                <w:szCs w:val="24"/>
              </w:rPr>
            </w:pPr>
            <w:r>
              <w:rPr>
                <w:color w:val="000000"/>
              </w:rPr>
              <w:t>78</w:t>
            </w:r>
          </w:p>
        </w:tc>
      </w:tr>
      <w:tr w:rsidR="005B4233" w:rsidTr="005B4233">
        <w:trPr>
          <w:trHeight w:val="315"/>
        </w:trPr>
        <w:tc>
          <w:tcPr>
            <w:tcW w:w="2670" w:type="dxa"/>
            <w:shd w:val="clear" w:color="auto" w:fill="auto"/>
            <w:noWrap/>
            <w:vAlign w:val="bottom"/>
            <w:hideMark/>
          </w:tcPr>
          <w:p w:rsidR="005B4233" w:rsidRDefault="005B4233">
            <w:pPr>
              <w:rPr>
                <w:color w:val="000000"/>
                <w:szCs w:val="24"/>
              </w:rPr>
            </w:pPr>
          </w:p>
        </w:tc>
        <w:tc>
          <w:tcPr>
            <w:tcW w:w="340" w:type="dxa"/>
            <w:shd w:val="clear" w:color="auto" w:fill="auto"/>
            <w:noWrap/>
            <w:vAlign w:val="bottom"/>
            <w:hideMark/>
          </w:tcPr>
          <w:p w:rsidR="005B4233" w:rsidRDefault="005B4233">
            <w:pPr>
              <w:rPr>
                <w:color w:val="000000"/>
                <w:szCs w:val="24"/>
              </w:rPr>
            </w:pPr>
          </w:p>
        </w:tc>
        <w:tc>
          <w:tcPr>
            <w:tcW w:w="1034" w:type="dxa"/>
            <w:shd w:val="clear" w:color="auto" w:fill="auto"/>
            <w:noWrap/>
            <w:vAlign w:val="bottom"/>
            <w:hideMark/>
          </w:tcPr>
          <w:p w:rsidR="005B4233" w:rsidRDefault="005B4233">
            <w:pPr>
              <w:rPr>
                <w:color w:val="000000"/>
                <w:szCs w:val="24"/>
              </w:rPr>
            </w:pPr>
          </w:p>
        </w:tc>
        <w:tc>
          <w:tcPr>
            <w:tcW w:w="960" w:type="dxa"/>
            <w:shd w:val="clear" w:color="auto" w:fill="auto"/>
            <w:noWrap/>
            <w:vAlign w:val="bottom"/>
            <w:hideMark/>
          </w:tcPr>
          <w:p w:rsidR="005B4233" w:rsidRDefault="005B4233">
            <w:pPr>
              <w:rPr>
                <w:color w:val="000000"/>
                <w:szCs w:val="24"/>
              </w:rPr>
            </w:pPr>
          </w:p>
        </w:tc>
        <w:tc>
          <w:tcPr>
            <w:tcW w:w="1190" w:type="dxa"/>
            <w:shd w:val="clear" w:color="auto" w:fill="auto"/>
            <w:noWrap/>
            <w:vAlign w:val="bottom"/>
            <w:hideMark/>
          </w:tcPr>
          <w:p w:rsidR="005B4233" w:rsidRDefault="005B4233">
            <w:pPr>
              <w:rPr>
                <w:color w:val="000000"/>
                <w:szCs w:val="24"/>
              </w:rPr>
            </w:pPr>
          </w:p>
        </w:tc>
        <w:tc>
          <w:tcPr>
            <w:tcW w:w="1212" w:type="dxa"/>
            <w:shd w:val="clear" w:color="auto" w:fill="auto"/>
            <w:noWrap/>
            <w:vAlign w:val="bottom"/>
            <w:hideMark/>
          </w:tcPr>
          <w:p w:rsidR="005B4233" w:rsidRDefault="005B4233">
            <w:pPr>
              <w:rPr>
                <w:color w:val="000000"/>
                <w:szCs w:val="24"/>
              </w:rPr>
            </w:pPr>
          </w:p>
        </w:tc>
        <w:tc>
          <w:tcPr>
            <w:tcW w:w="960" w:type="dxa"/>
            <w:shd w:val="clear" w:color="auto" w:fill="auto"/>
            <w:noWrap/>
            <w:vAlign w:val="bottom"/>
            <w:hideMark/>
          </w:tcPr>
          <w:p w:rsidR="005B4233" w:rsidRDefault="005B4233">
            <w:pPr>
              <w:rPr>
                <w:color w:val="000000"/>
                <w:szCs w:val="24"/>
              </w:rPr>
            </w:pPr>
          </w:p>
        </w:tc>
      </w:tr>
      <w:tr w:rsidR="005B4233" w:rsidTr="005B4233">
        <w:trPr>
          <w:trHeight w:val="315"/>
        </w:trPr>
        <w:tc>
          <w:tcPr>
            <w:tcW w:w="2670" w:type="dxa"/>
            <w:shd w:val="clear" w:color="auto" w:fill="auto"/>
            <w:noWrap/>
            <w:vAlign w:val="bottom"/>
            <w:hideMark/>
          </w:tcPr>
          <w:p w:rsidR="005B4233" w:rsidRDefault="005B4233">
            <w:pPr>
              <w:rPr>
                <w:szCs w:val="24"/>
              </w:rPr>
            </w:pPr>
            <w:r>
              <w:t>Average, All data</w:t>
            </w:r>
          </w:p>
        </w:tc>
        <w:tc>
          <w:tcPr>
            <w:tcW w:w="340" w:type="dxa"/>
            <w:shd w:val="clear" w:color="auto" w:fill="auto"/>
            <w:noWrap/>
            <w:vAlign w:val="bottom"/>
            <w:hideMark/>
          </w:tcPr>
          <w:p w:rsidR="005B4233" w:rsidRDefault="005B4233">
            <w:pPr>
              <w:rPr>
                <w:color w:val="000000"/>
                <w:szCs w:val="24"/>
              </w:rPr>
            </w:pPr>
          </w:p>
        </w:tc>
        <w:tc>
          <w:tcPr>
            <w:tcW w:w="1034" w:type="dxa"/>
            <w:shd w:val="clear" w:color="auto" w:fill="auto"/>
            <w:noWrap/>
            <w:vAlign w:val="bottom"/>
            <w:hideMark/>
          </w:tcPr>
          <w:p w:rsidR="005B4233" w:rsidRDefault="005B4233">
            <w:pPr>
              <w:jc w:val="right"/>
              <w:rPr>
                <w:color w:val="000000"/>
                <w:szCs w:val="24"/>
              </w:rPr>
            </w:pPr>
            <w:r>
              <w:rPr>
                <w:color w:val="000000"/>
              </w:rPr>
              <w:t>4.8</w:t>
            </w:r>
          </w:p>
        </w:tc>
        <w:tc>
          <w:tcPr>
            <w:tcW w:w="960" w:type="dxa"/>
            <w:shd w:val="clear" w:color="auto" w:fill="auto"/>
            <w:noWrap/>
            <w:vAlign w:val="bottom"/>
            <w:hideMark/>
          </w:tcPr>
          <w:p w:rsidR="005B4233" w:rsidRDefault="005B4233">
            <w:pPr>
              <w:rPr>
                <w:color w:val="000000"/>
                <w:szCs w:val="24"/>
              </w:rPr>
            </w:pPr>
            <w:r>
              <w:rPr>
                <w:color w:val="000000"/>
              </w:rPr>
              <w:t>µg/L</w:t>
            </w:r>
          </w:p>
        </w:tc>
        <w:tc>
          <w:tcPr>
            <w:tcW w:w="1190" w:type="dxa"/>
            <w:shd w:val="clear" w:color="auto" w:fill="auto"/>
            <w:noWrap/>
            <w:vAlign w:val="bottom"/>
            <w:hideMark/>
          </w:tcPr>
          <w:p w:rsidR="005B4233" w:rsidRDefault="005B4233">
            <w:pPr>
              <w:rPr>
                <w:color w:val="000000"/>
                <w:szCs w:val="24"/>
              </w:rPr>
            </w:pPr>
          </w:p>
        </w:tc>
        <w:tc>
          <w:tcPr>
            <w:tcW w:w="1212" w:type="dxa"/>
            <w:shd w:val="clear" w:color="auto" w:fill="auto"/>
            <w:noWrap/>
            <w:vAlign w:val="bottom"/>
            <w:hideMark/>
          </w:tcPr>
          <w:p w:rsidR="005B4233" w:rsidRDefault="005B4233">
            <w:pPr>
              <w:rPr>
                <w:color w:val="000000"/>
                <w:szCs w:val="24"/>
              </w:rPr>
            </w:pPr>
          </w:p>
        </w:tc>
        <w:tc>
          <w:tcPr>
            <w:tcW w:w="960" w:type="dxa"/>
            <w:shd w:val="clear" w:color="auto" w:fill="auto"/>
            <w:noWrap/>
            <w:vAlign w:val="bottom"/>
            <w:hideMark/>
          </w:tcPr>
          <w:p w:rsidR="005B4233" w:rsidRDefault="005B4233">
            <w:pPr>
              <w:jc w:val="right"/>
              <w:rPr>
                <w:color w:val="000000"/>
                <w:szCs w:val="24"/>
              </w:rPr>
            </w:pPr>
            <w:r>
              <w:rPr>
                <w:color w:val="000000"/>
              </w:rPr>
              <w:t>95.4</w:t>
            </w:r>
          </w:p>
        </w:tc>
      </w:tr>
      <w:tr w:rsidR="005B4233" w:rsidTr="005B4233">
        <w:trPr>
          <w:trHeight w:val="315"/>
        </w:trPr>
        <w:tc>
          <w:tcPr>
            <w:tcW w:w="2670" w:type="dxa"/>
            <w:shd w:val="clear" w:color="auto" w:fill="auto"/>
            <w:noWrap/>
            <w:vAlign w:val="bottom"/>
            <w:hideMark/>
          </w:tcPr>
          <w:p w:rsidR="005B4233" w:rsidRDefault="005B4233">
            <w:pPr>
              <w:rPr>
                <w:szCs w:val="24"/>
              </w:rPr>
            </w:pPr>
            <w:r>
              <w:t>Average, GFAA</w:t>
            </w:r>
          </w:p>
        </w:tc>
        <w:tc>
          <w:tcPr>
            <w:tcW w:w="340" w:type="dxa"/>
            <w:shd w:val="clear" w:color="auto" w:fill="auto"/>
            <w:noWrap/>
            <w:vAlign w:val="bottom"/>
            <w:hideMark/>
          </w:tcPr>
          <w:p w:rsidR="005B4233" w:rsidRDefault="005B4233">
            <w:pPr>
              <w:rPr>
                <w:color w:val="000000"/>
                <w:szCs w:val="24"/>
              </w:rPr>
            </w:pPr>
          </w:p>
        </w:tc>
        <w:tc>
          <w:tcPr>
            <w:tcW w:w="1034" w:type="dxa"/>
            <w:shd w:val="clear" w:color="auto" w:fill="auto"/>
            <w:noWrap/>
            <w:vAlign w:val="bottom"/>
            <w:hideMark/>
          </w:tcPr>
          <w:p w:rsidR="005B4233" w:rsidRDefault="005B4233">
            <w:pPr>
              <w:jc w:val="right"/>
              <w:rPr>
                <w:color w:val="000000"/>
                <w:szCs w:val="24"/>
              </w:rPr>
            </w:pPr>
            <w:r>
              <w:rPr>
                <w:color w:val="000000"/>
              </w:rPr>
              <w:t>4.8</w:t>
            </w:r>
          </w:p>
        </w:tc>
        <w:tc>
          <w:tcPr>
            <w:tcW w:w="960" w:type="dxa"/>
            <w:shd w:val="clear" w:color="auto" w:fill="auto"/>
            <w:noWrap/>
            <w:vAlign w:val="bottom"/>
            <w:hideMark/>
          </w:tcPr>
          <w:p w:rsidR="005B4233" w:rsidRDefault="005B4233">
            <w:pPr>
              <w:rPr>
                <w:color w:val="000000"/>
                <w:szCs w:val="24"/>
              </w:rPr>
            </w:pPr>
            <w:r>
              <w:rPr>
                <w:color w:val="000000"/>
              </w:rPr>
              <w:t>µg/L</w:t>
            </w:r>
          </w:p>
        </w:tc>
        <w:tc>
          <w:tcPr>
            <w:tcW w:w="1190" w:type="dxa"/>
            <w:shd w:val="clear" w:color="auto" w:fill="auto"/>
            <w:noWrap/>
            <w:vAlign w:val="bottom"/>
            <w:hideMark/>
          </w:tcPr>
          <w:p w:rsidR="005B4233" w:rsidRDefault="005B4233">
            <w:pPr>
              <w:rPr>
                <w:color w:val="000000"/>
                <w:szCs w:val="24"/>
              </w:rPr>
            </w:pPr>
          </w:p>
        </w:tc>
        <w:tc>
          <w:tcPr>
            <w:tcW w:w="1212" w:type="dxa"/>
            <w:shd w:val="clear" w:color="auto" w:fill="auto"/>
            <w:noWrap/>
            <w:vAlign w:val="bottom"/>
            <w:hideMark/>
          </w:tcPr>
          <w:p w:rsidR="005B4233" w:rsidRDefault="005B4233">
            <w:pPr>
              <w:rPr>
                <w:color w:val="000000"/>
                <w:szCs w:val="24"/>
              </w:rPr>
            </w:pPr>
          </w:p>
        </w:tc>
        <w:tc>
          <w:tcPr>
            <w:tcW w:w="960" w:type="dxa"/>
            <w:shd w:val="clear" w:color="auto" w:fill="auto"/>
            <w:noWrap/>
            <w:vAlign w:val="bottom"/>
            <w:hideMark/>
          </w:tcPr>
          <w:p w:rsidR="005B4233" w:rsidRDefault="005B4233">
            <w:pPr>
              <w:jc w:val="right"/>
              <w:rPr>
                <w:color w:val="000000"/>
                <w:szCs w:val="24"/>
              </w:rPr>
            </w:pPr>
            <w:r>
              <w:rPr>
                <w:color w:val="000000"/>
              </w:rPr>
              <w:t>96.7</w:t>
            </w:r>
          </w:p>
        </w:tc>
      </w:tr>
      <w:tr w:rsidR="005B4233" w:rsidTr="005B4233">
        <w:trPr>
          <w:trHeight w:val="315"/>
        </w:trPr>
        <w:tc>
          <w:tcPr>
            <w:tcW w:w="2670" w:type="dxa"/>
            <w:shd w:val="clear" w:color="auto" w:fill="auto"/>
            <w:noWrap/>
            <w:vAlign w:val="bottom"/>
            <w:hideMark/>
          </w:tcPr>
          <w:p w:rsidR="005B4233" w:rsidRDefault="005B4233">
            <w:pPr>
              <w:rPr>
                <w:color w:val="000000"/>
                <w:szCs w:val="24"/>
              </w:rPr>
            </w:pPr>
            <w:r>
              <w:rPr>
                <w:color w:val="000000"/>
              </w:rPr>
              <w:t>Average, ICP/MS</w:t>
            </w:r>
          </w:p>
        </w:tc>
        <w:tc>
          <w:tcPr>
            <w:tcW w:w="340" w:type="dxa"/>
            <w:shd w:val="clear" w:color="auto" w:fill="auto"/>
            <w:noWrap/>
            <w:vAlign w:val="bottom"/>
            <w:hideMark/>
          </w:tcPr>
          <w:p w:rsidR="005B4233" w:rsidRDefault="005B4233">
            <w:pPr>
              <w:rPr>
                <w:color w:val="000000"/>
                <w:szCs w:val="24"/>
              </w:rPr>
            </w:pPr>
          </w:p>
        </w:tc>
        <w:tc>
          <w:tcPr>
            <w:tcW w:w="1034" w:type="dxa"/>
            <w:shd w:val="clear" w:color="auto" w:fill="auto"/>
            <w:noWrap/>
            <w:vAlign w:val="bottom"/>
            <w:hideMark/>
          </w:tcPr>
          <w:p w:rsidR="005B4233" w:rsidRDefault="005B4233">
            <w:pPr>
              <w:jc w:val="right"/>
              <w:rPr>
                <w:color w:val="000000"/>
                <w:szCs w:val="24"/>
              </w:rPr>
            </w:pPr>
            <w:r>
              <w:rPr>
                <w:color w:val="000000"/>
              </w:rPr>
              <w:t>5.06</w:t>
            </w:r>
          </w:p>
        </w:tc>
        <w:tc>
          <w:tcPr>
            <w:tcW w:w="960" w:type="dxa"/>
            <w:shd w:val="clear" w:color="auto" w:fill="auto"/>
            <w:noWrap/>
            <w:vAlign w:val="bottom"/>
            <w:hideMark/>
          </w:tcPr>
          <w:p w:rsidR="005B4233" w:rsidRDefault="005B4233">
            <w:pPr>
              <w:rPr>
                <w:color w:val="000000"/>
                <w:szCs w:val="24"/>
              </w:rPr>
            </w:pPr>
            <w:r>
              <w:rPr>
                <w:color w:val="000000"/>
              </w:rPr>
              <w:t>µg/L</w:t>
            </w:r>
          </w:p>
        </w:tc>
        <w:tc>
          <w:tcPr>
            <w:tcW w:w="1190" w:type="dxa"/>
            <w:shd w:val="clear" w:color="auto" w:fill="auto"/>
            <w:noWrap/>
            <w:vAlign w:val="bottom"/>
            <w:hideMark/>
          </w:tcPr>
          <w:p w:rsidR="005B4233" w:rsidRDefault="005B4233">
            <w:pPr>
              <w:rPr>
                <w:color w:val="000000"/>
                <w:szCs w:val="24"/>
              </w:rPr>
            </w:pPr>
          </w:p>
        </w:tc>
        <w:tc>
          <w:tcPr>
            <w:tcW w:w="1212" w:type="dxa"/>
            <w:shd w:val="clear" w:color="auto" w:fill="auto"/>
            <w:noWrap/>
            <w:vAlign w:val="bottom"/>
            <w:hideMark/>
          </w:tcPr>
          <w:p w:rsidR="005B4233" w:rsidRDefault="005B4233">
            <w:pPr>
              <w:rPr>
                <w:color w:val="000000"/>
                <w:szCs w:val="24"/>
              </w:rPr>
            </w:pPr>
          </w:p>
        </w:tc>
        <w:tc>
          <w:tcPr>
            <w:tcW w:w="960" w:type="dxa"/>
            <w:shd w:val="clear" w:color="auto" w:fill="auto"/>
            <w:noWrap/>
            <w:vAlign w:val="bottom"/>
            <w:hideMark/>
          </w:tcPr>
          <w:p w:rsidR="005B4233" w:rsidRDefault="005B4233">
            <w:pPr>
              <w:jc w:val="right"/>
              <w:rPr>
                <w:color w:val="000000"/>
                <w:szCs w:val="24"/>
              </w:rPr>
            </w:pPr>
            <w:r>
              <w:rPr>
                <w:color w:val="000000"/>
              </w:rPr>
              <w:t>97.6</w:t>
            </w:r>
          </w:p>
        </w:tc>
      </w:tr>
      <w:tr w:rsidR="005B4233" w:rsidTr="005B4233">
        <w:trPr>
          <w:trHeight w:val="315"/>
        </w:trPr>
        <w:tc>
          <w:tcPr>
            <w:tcW w:w="2670" w:type="dxa"/>
            <w:shd w:val="clear" w:color="auto" w:fill="auto"/>
            <w:noWrap/>
            <w:vAlign w:val="bottom"/>
            <w:hideMark/>
          </w:tcPr>
          <w:p w:rsidR="005B4233" w:rsidRDefault="005B4233">
            <w:pPr>
              <w:rPr>
                <w:color w:val="000000"/>
                <w:szCs w:val="24"/>
              </w:rPr>
            </w:pPr>
            <w:r>
              <w:rPr>
                <w:color w:val="000000"/>
              </w:rPr>
              <w:t>Average, Hydride</w:t>
            </w:r>
          </w:p>
        </w:tc>
        <w:tc>
          <w:tcPr>
            <w:tcW w:w="340" w:type="dxa"/>
            <w:shd w:val="clear" w:color="auto" w:fill="auto"/>
            <w:noWrap/>
            <w:vAlign w:val="bottom"/>
            <w:hideMark/>
          </w:tcPr>
          <w:p w:rsidR="005B4233" w:rsidRDefault="005B4233">
            <w:pPr>
              <w:rPr>
                <w:color w:val="000000"/>
                <w:szCs w:val="24"/>
              </w:rPr>
            </w:pPr>
          </w:p>
        </w:tc>
        <w:tc>
          <w:tcPr>
            <w:tcW w:w="1034" w:type="dxa"/>
            <w:shd w:val="clear" w:color="auto" w:fill="auto"/>
            <w:noWrap/>
            <w:vAlign w:val="bottom"/>
            <w:hideMark/>
          </w:tcPr>
          <w:p w:rsidR="005B4233" w:rsidRDefault="005B4233">
            <w:pPr>
              <w:jc w:val="right"/>
              <w:rPr>
                <w:color w:val="000000"/>
                <w:szCs w:val="24"/>
              </w:rPr>
            </w:pPr>
            <w:r>
              <w:rPr>
                <w:color w:val="000000"/>
              </w:rPr>
              <w:t>3.9</w:t>
            </w:r>
          </w:p>
        </w:tc>
        <w:tc>
          <w:tcPr>
            <w:tcW w:w="960" w:type="dxa"/>
            <w:shd w:val="clear" w:color="auto" w:fill="auto"/>
            <w:noWrap/>
            <w:vAlign w:val="bottom"/>
            <w:hideMark/>
          </w:tcPr>
          <w:p w:rsidR="005B4233" w:rsidRDefault="005B4233">
            <w:pPr>
              <w:rPr>
                <w:color w:val="000000"/>
                <w:szCs w:val="24"/>
              </w:rPr>
            </w:pPr>
            <w:r>
              <w:rPr>
                <w:color w:val="000000"/>
              </w:rPr>
              <w:t>µg/L</w:t>
            </w:r>
          </w:p>
        </w:tc>
        <w:tc>
          <w:tcPr>
            <w:tcW w:w="1190" w:type="dxa"/>
            <w:shd w:val="clear" w:color="auto" w:fill="auto"/>
            <w:noWrap/>
            <w:vAlign w:val="bottom"/>
            <w:hideMark/>
          </w:tcPr>
          <w:p w:rsidR="005B4233" w:rsidRDefault="005B4233">
            <w:pPr>
              <w:rPr>
                <w:color w:val="000000"/>
                <w:szCs w:val="24"/>
              </w:rPr>
            </w:pPr>
          </w:p>
        </w:tc>
        <w:tc>
          <w:tcPr>
            <w:tcW w:w="1212" w:type="dxa"/>
            <w:shd w:val="clear" w:color="auto" w:fill="auto"/>
            <w:noWrap/>
            <w:vAlign w:val="bottom"/>
            <w:hideMark/>
          </w:tcPr>
          <w:p w:rsidR="005B4233" w:rsidRDefault="005B4233">
            <w:pPr>
              <w:rPr>
                <w:color w:val="000000"/>
                <w:szCs w:val="24"/>
              </w:rPr>
            </w:pPr>
          </w:p>
        </w:tc>
        <w:tc>
          <w:tcPr>
            <w:tcW w:w="960" w:type="dxa"/>
            <w:shd w:val="clear" w:color="auto" w:fill="auto"/>
            <w:noWrap/>
            <w:vAlign w:val="bottom"/>
            <w:hideMark/>
          </w:tcPr>
          <w:p w:rsidR="005B4233" w:rsidRDefault="005B4233">
            <w:pPr>
              <w:jc w:val="right"/>
              <w:rPr>
                <w:color w:val="000000"/>
                <w:szCs w:val="24"/>
              </w:rPr>
            </w:pPr>
            <w:r>
              <w:rPr>
                <w:color w:val="000000"/>
              </w:rPr>
              <w:t>78</w:t>
            </w:r>
          </w:p>
        </w:tc>
      </w:tr>
    </w:tbl>
    <w:p w:rsidR="00A837D3" w:rsidRDefault="00A837D3" w:rsidP="00B3084D">
      <w:pPr>
        <w:spacing w:after="0"/>
      </w:pPr>
    </w:p>
    <w:p w:rsidR="00A837D3" w:rsidRDefault="00A837D3" w:rsidP="00A837D3">
      <w:pPr>
        <w:rPr>
          <w:b/>
        </w:rPr>
      </w:pPr>
    </w:p>
    <w:p w:rsidR="00436D1A" w:rsidRDefault="00436D1A" w:rsidP="00A837D3"/>
    <w:p w:rsidR="00436D1A" w:rsidRDefault="00436D1A" w:rsidP="00A837D3"/>
    <w:p w:rsidR="00436D1A" w:rsidRDefault="00436D1A" w:rsidP="00A837D3"/>
    <w:p w:rsidR="00436D1A" w:rsidRDefault="00436D1A" w:rsidP="00A837D3"/>
    <w:p w:rsidR="00436D1A" w:rsidRDefault="00436D1A" w:rsidP="00A837D3"/>
    <w:p w:rsidR="00436D1A" w:rsidRDefault="00436D1A" w:rsidP="00A837D3"/>
    <w:p w:rsidR="00436D1A" w:rsidRDefault="00436D1A" w:rsidP="00A837D3"/>
    <w:p w:rsidR="00436D1A" w:rsidRDefault="00436D1A" w:rsidP="00A837D3"/>
    <w:p w:rsidR="00436D1A" w:rsidRDefault="00436D1A" w:rsidP="00A837D3"/>
    <w:p w:rsidR="00436D1A" w:rsidRDefault="00436D1A" w:rsidP="00A837D3"/>
    <w:p w:rsidR="00436D1A" w:rsidRDefault="00436D1A" w:rsidP="00A837D3"/>
    <w:p w:rsidR="00436D1A" w:rsidRDefault="00436D1A" w:rsidP="00A837D3"/>
    <w:p w:rsidR="00436D1A" w:rsidRDefault="00436D1A" w:rsidP="00A837D3"/>
    <w:p w:rsidR="00113586" w:rsidRDefault="00113586" w:rsidP="00A837D3"/>
    <w:p w:rsidR="00113586" w:rsidRDefault="00113586" w:rsidP="00A837D3"/>
    <w:p w:rsidR="00113586" w:rsidRDefault="00113586" w:rsidP="00A837D3"/>
    <w:p w:rsidR="00A837D3" w:rsidRDefault="00A837D3" w:rsidP="00A837D3">
      <w:r>
        <w:lastRenderedPageBreak/>
        <w:t>The following chart gives a visual depiction of the data for raw results from Phase I.</w:t>
      </w:r>
    </w:p>
    <w:p w:rsidR="00A837D3" w:rsidRPr="00436D1A" w:rsidRDefault="00A837D3" w:rsidP="00A837D3">
      <w:pPr>
        <w:rPr>
          <w:b/>
          <w:sz w:val="32"/>
          <w:szCs w:val="32"/>
        </w:rPr>
      </w:pPr>
      <w:r w:rsidRPr="00436D1A">
        <w:rPr>
          <w:b/>
          <w:sz w:val="32"/>
          <w:szCs w:val="32"/>
        </w:rPr>
        <w:t>Chart 1.</w:t>
      </w:r>
    </w:p>
    <w:p w:rsidR="00A837D3" w:rsidRDefault="00A837D3" w:rsidP="00A837D3">
      <w:pPr>
        <w:rPr>
          <w:b/>
        </w:rPr>
      </w:pPr>
    </w:p>
    <w:p w:rsidR="00A837D3" w:rsidRDefault="005B4233" w:rsidP="00A837D3">
      <w:pPr>
        <w:rPr>
          <w:b/>
        </w:rPr>
      </w:pPr>
      <w:r w:rsidRPr="005B4233">
        <w:rPr>
          <w:b/>
          <w:noProof/>
        </w:rPr>
        <w:drawing>
          <wp:inline distT="0" distB="0" distL="0" distR="0">
            <wp:extent cx="5943600" cy="5200650"/>
            <wp:effectExtent l="19050" t="0" r="19050"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837D3" w:rsidRDefault="00A837D3" w:rsidP="00A837D3">
      <w:pPr>
        <w:rPr>
          <w:b/>
        </w:rPr>
      </w:pPr>
    </w:p>
    <w:tbl>
      <w:tblPr>
        <w:tblW w:w="9627" w:type="dxa"/>
        <w:tblInd w:w="108" w:type="dxa"/>
        <w:tblLook w:val="04A0"/>
      </w:tblPr>
      <w:tblGrid>
        <w:gridCol w:w="2645"/>
        <w:gridCol w:w="850"/>
        <w:gridCol w:w="1883"/>
        <w:gridCol w:w="850"/>
        <w:gridCol w:w="2549"/>
        <w:gridCol w:w="850"/>
      </w:tblGrid>
      <w:tr w:rsidR="00C71448" w:rsidRPr="00C71448" w:rsidTr="00C71448">
        <w:trPr>
          <w:trHeight w:val="325"/>
        </w:trPr>
        <w:tc>
          <w:tcPr>
            <w:tcW w:w="2490" w:type="dxa"/>
            <w:tcBorders>
              <w:top w:val="nil"/>
              <w:left w:val="nil"/>
              <w:bottom w:val="nil"/>
              <w:right w:val="nil"/>
            </w:tcBorders>
            <w:shd w:val="clear" w:color="auto" w:fill="auto"/>
            <w:noWrap/>
            <w:vAlign w:val="bottom"/>
            <w:hideMark/>
          </w:tcPr>
          <w:p w:rsidR="00C71448" w:rsidRPr="00C71448" w:rsidRDefault="00C71448" w:rsidP="00C71448">
            <w:pPr>
              <w:spacing w:after="0"/>
              <w:contextualSpacing w:val="0"/>
              <w:rPr>
                <w:rFonts w:eastAsia="Times New Roman" w:cs="Times New Roman"/>
                <w:color w:val="000000"/>
                <w:szCs w:val="24"/>
              </w:rPr>
            </w:pPr>
            <w:r w:rsidRPr="00C71448">
              <w:rPr>
                <w:rFonts w:eastAsia="Times New Roman" w:cs="Times New Roman"/>
                <w:color w:val="000000"/>
                <w:szCs w:val="24"/>
              </w:rPr>
              <w:t>Graphite Furnace AA</w:t>
            </w:r>
          </w:p>
        </w:tc>
        <w:tc>
          <w:tcPr>
            <w:tcW w:w="800" w:type="dxa"/>
            <w:tcBorders>
              <w:top w:val="nil"/>
              <w:left w:val="nil"/>
              <w:bottom w:val="nil"/>
              <w:right w:val="nil"/>
            </w:tcBorders>
            <w:shd w:val="clear" w:color="000000" w:fill="FFFF00"/>
            <w:noWrap/>
            <w:vAlign w:val="bottom"/>
            <w:hideMark/>
          </w:tcPr>
          <w:p w:rsidR="00C71448" w:rsidRPr="00C71448" w:rsidRDefault="00C71448" w:rsidP="00C71448">
            <w:pPr>
              <w:spacing w:after="0"/>
              <w:contextualSpacing w:val="0"/>
              <w:rPr>
                <w:rFonts w:ascii="Calibri" w:eastAsia="Times New Roman" w:hAnsi="Calibri" w:cs="Times New Roman"/>
                <w:color w:val="000000"/>
                <w:sz w:val="22"/>
              </w:rPr>
            </w:pPr>
            <w:r w:rsidRPr="00C71448">
              <w:rPr>
                <w:rFonts w:ascii="Calibri" w:eastAsia="Times New Roman" w:hAnsi="Calibri" w:cs="Times New Roman"/>
                <w:color w:val="000000"/>
                <w:sz w:val="22"/>
              </w:rPr>
              <w:t> </w:t>
            </w:r>
          </w:p>
        </w:tc>
        <w:tc>
          <w:tcPr>
            <w:tcW w:w="1773" w:type="dxa"/>
            <w:tcBorders>
              <w:top w:val="nil"/>
              <w:left w:val="nil"/>
              <w:bottom w:val="nil"/>
              <w:right w:val="nil"/>
            </w:tcBorders>
            <w:shd w:val="clear" w:color="auto" w:fill="auto"/>
            <w:noWrap/>
            <w:vAlign w:val="bottom"/>
            <w:hideMark/>
          </w:tcPr>
          <w:p w:rsidR="00C71448" w:rsidRPr="00C71448" w:rsidRDefault="00C71448" w:rsidP="00C71448">
            <w:pPr>
              <w:spacing w:after="0"/>
              <w:contextualSpacing w:val="0"/>
              <w:rPr>
                <w:rFonts w:eastAsia="Times New Roman" w:cs="Times New Roman"/>
                <w:color w:val="000000"/>
                <w:szCs w:val="24"/>
              </w:rPr>
            </w:pPr>
            <w:r w:rsidRPr="00C71448">
              <w:rPr>
                <w:rFonts w:eastAsia="Times New Roman" w:cs="Times New Roman"/>
                <w:color w:val="000000"/>
                <w:szCs w:val="24"/>
              </w:rPr>
              <w:t>ICP- Mass Spec</w:t>
            </w:r>
          </w:p>
        </w:tc>
        <w:tc>
          <w:tcPr>
            <w:tcW w:w="800" w:type="dxa"/>
            <w:tcBorders>
              <w:top w:val="nil"/>
              <w:left w:val="nil"/>
              <w:bottom w:val="nil"/>
              <w:right w:val="nil"/>
            </w:tcBorders>
            <w:shd w:val="clear" w:color="000000" w:fill="00B050"/>
            <w:noWrap/>
            <w:vAlign w:val="bottom"/>
            <w:hideMark/>
          </w:tcPr>
          <w:p w:rsidR="00C71448" w:rsidRPr="00C71448" w:rsidRDefault="00C71448" w:rsidP="00C71448">
            <w:pPr>
              <w:spacing w:after="0"/>
              <w:contextualSpacing w:val="0"/>
              <w:rPr>
                <w:rFonts w:ascii="Calibri" w:eastAsia="Times New Roman" w:hAnsi="Calibri" w:cs="Times New Roman"/>
                <w:color w:val="000000"/>
                <w:sz w:val="22"/>
              </w:rPr>
            </w:pPr>
            <w:r w:rsidRPr="00C71448">
              <w:rPr>
                <w:rFonts w:ascii="Calibri" w:eastAsia="Times New Roman" w:hAnsi="Calibri" w:cs="Times New Roman"/>
                <w:color w:val="000000"/>
                <w:sz w:val="22"/>
              </w:rPr>
              <w:t> </w:t>
            </w:r>
          </w:p>
        </w:tc>
        <w:tc>
          <w:tcPr>
            <w:tcW w:w="2400" w:type="dxa"/>
            <w:tcBorders>
              <w:top w:val="nil"/>
              <w:left w:val="nil"/>
              <w:bottom w:val="nil"/>
              <w:right w:val="nil"/>
            </w:tcBorders>
            <w:shd w:val="clear" w:color="auto" w:fill="auto"/>
            <w:noWrap/>
            <w:vAlign w:val="bottom"/>
            <w:hideMark/>
          </w:tcPr>
          <w:p w:rsidR="00C71448" w:rsidRPr="00C71448" w:rsidRDefault="00C71448" w:rsidP="00C71448">
            <w:pPr>
              <w:spacing w:after="0"/>
              <w:contextualSpacing w:val="0"/>
              <w:rPr>
                <w:rFonts w:eastAsia="Times New Roman" w:cs="Times New Roman"/>
                <w:color w:val="000000"/>
                <w:szCs w:val="24"/>
              </w:rPr>
            </w:pPr>
            <w:r w:rsidRPr="00C71448">
              <w:rPr>
                <w:rFonts w:eastAsia="Times New Roman" w:cs="Times New Roman"/>
                <w:color w:val="000000"/>
                <w:szCs w:val="24"/>
              </w:rPr>
              <w:t>Gaseous Hydride-AA</w:t>
            </w:r>
          </w:p>
        </w:tc>
        <w:tc>
          <w:tcPr>
            <w:tcW w:w="800" w:type="dxa"/>
            <w:tcBorders>
              <w:top w:val="nil"/>
              <w:left w:val="nil"/>
              <w:bottom w:val="nil"/>
              <w:right w:val="nil"/>
            </w:tcBorders>
            <w:shd w:val="clear" w:color="000000" w:fill="7030A0"/>
            <w:noWrap/>
            <w:vAlign w:val="bottom"/>
            <w:hideMark/>
          </w:tcPr>
          <w:p w:rsidR="00C71448" w:rsidRPr="00C71448" w:rsidRDefault="00C71448" w:rsidP="00C71448">
            <w:pPr>
              <w:spacing w:after="0"/>
              <w:contextualSpacing w:val="0"/>
              <w:rPr>
                <w:rFonts w:ascii="Calibri" w:eastAsia="Times New Roman" w:hAnsi="Calibri" w:cs="Times New Roman"/>
                <w:color w:val="000000"/>
                <w:sz w:val="22"/>
              </w:rPr>
            </w:pPr>
            <w:r w:rsidRPr="00C71448">
              <w:rPr>
                <w:rFonts w:ascii="Calibri" w:eastAsia="Times New Roman" w:hAnsi="Calibri" w:cs="Times New Roman"/>
                <w:color w:val="000000"/>
                <w:sz w:val="22"/>
              </w:rPr>
              <w:t> </w:t>
            </w:r>
          </w:p>
        </w:tc>
      </w:tr>
    </w:tbl>
    <w:p w:rsidR="00C71448" w:rsidRDefault="00C71448" w:rsidP="00A837D3"/>
    <w:p w:rsidR="00C71448" w:rsidRDefault="00C71448" w:rsidP="00A837D3"/>
    <w:p w:rsidR="00C71448" w:rsidRDefault="00C71448" w:rsidP="00A837D3"/>
    <w:p w:rsidR="00436D1A" w:rsidRDefault="00436D1A" w:rsidP="00A837D3"/>
    <w:p w:rsidR="00436D1A" w:rsidRDefault="00436D1A" w:rsidP="00A837D3"/>
    <w:p w:rsidR="00436D1A" w:rsidRDefault="00436D1A" w:rsidP="00A837D3"/>
    <w:p w:rsidR="00436D1A" w:rsidRDefault="00436D1A" w:rsidP="00A837D3"/>
    <w:p w:rsidR="00436D1A" w:rsidRDefault="00436D1A" w:rsidP="00A837D3"/>
    <w:p w:rsidR="00436D1A" w:rsidRDefault="00436D1A" w:rsidP="00A837D3"/>
    <w:p w:rsidR="00436D1A" w:rsidRDefault="00436D1A" w:rsidP="00A837D3"/>
    <w:p w:rsidR="00A837D3" w:rsidRDefault="00A837D3" w:rsidP="00A837D3">
      <w:r>
        <w:lastRenderedPageBreak/>
        <w:t>The following chart gives a visual depiction of the percent recovery data for raw results from Phase I.</w:t>
      </w:r>
    </w:p>
    <w:p w:rsidR="00A837D3" w:rsidRDefault="00A837D3" w:rsidP="00A837D3"/>
    <w:p w:rsidR="00A837D3" w:rsidRDefault="00A837D3" w:rsidP="00BB03B7">
      <w:pPr>
        <w:spacing w:after="0"/>
        <w:rPr>
          <w:b/>
          <w:sz w:val="32"/>
          <w:szCs w:val="32"/>
        </w:rPr>
      </w:pPr>
      <w:r w:rsidRPr="00436D1A">
        <w:rPr>
          <w:b/>
          <w:sz w:val="32"/>
          <w:szCs w:val="32"/>
        </w:rPr>
        <w:t>Chart 2.</w:t>
      </w:r>
    </w:p>
    <w:p w:rsidR="00BB03B7" w:rsidRPr="00BB03B7" w:rsidRDefault="00BB03B7" w:rsidP="00BB03B7">
      <w:pPr>
        <w:pStyle w:val="NoSpacing"/>
        <w:rPr>
          <w:sz w:val="16"/>
          <w:szCs w:val="16"/>
        </w:rPr>
      </w:pPr>
    </w:p>
    <w:p w:rsidR="00A837D3" w:rsidRDefault="00EB0561" w:rsidP="00A837D3">
      <w:r w:rsidRPr="00EB0561">
        <w:rPr>
          <w:noProof/>
        </w:rPr>
        <w:drawing>
          <wp:inline distT="0" distB="0" distL="0" distR="0">
            <wp:extent cx="5943600" cy="5200650"/>
            <wp:effectExtent l="19050" t="0" r="19050" b="0"/>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837D3" w:rsidRDefault="00A837D3" w:rsidP="00A837D3"/>
    <w:tbl>
      <w:tblPr>
        <w:tblW w:w="9627" w:type="dxa"/>
        <w:tblInd w:w="108" w:type="dxa"/>
        <w:tblLook w:val="04A0"/>
      </w:tblPr>
      <w:tblGrid>
        <w:gridCol w:w="2645"/>
        <w:gridCol w:w="850"/>
        <w:gridCol w:w="1883"/>
        <w:gridCol w:w="850"/>
        <w:gridCol w:w="2549"/>
        <w:gridCol w:w="850"/>
      </w:tblGrid>
      <w:tr w:rsidR="00436D1A" w:rsidRPr="00C71448" w:rsidTr="00867DA4">
        <w:trPr>
          <w:trHeight w:val="325"/>
        </w:trPr>
        <w:tc>
          <w:tcPr>
            <w:tcW w:w="2490" w:type="dxa"/>
            <w:tcBorders>
              <w:top w:val="nil"/>
              <w:left w:val="nil"/>
              <w:bottom w:val="nil"/>
              <w:right w:val="nil"/>
            </w:tcBorders>
            <w:shd w:val="clear" w:color="auto" w:fill="auto"/>
            <w:noWrap/>
            <w:vAlign w:val="bottom"/>
            <w:hideMark/>
          </w:tcPr>
          <w:p w:rsidR="00436D1A" w:rsidRPr="00C71448" w:rsidRDefault="00436D1A" w:rsidP="00867DA4">
            <w:pPr>
              <w:spacing w:after="0"/>
              <w:contextualSpacing w:val="0"/>
              <w:rPr>
                <w:rFonts w:eastAsia="Times New Roman" w:cs="Times New Roman"/>
                <w:color w:val="000000"/>
                <w:szCs w:val="24"/>
              </w:rPr>
            </w:pPr>
            <w:r w:rsidRPr="00C71448">
              <w:rPr>
                <w:rFonts w:eastAsia="Times New Roman" w:cs="Times New Roman"/>
                <w:color w:val="000000"/>
                <w:szCs w:val="24"/>
              </w:rPr>
              <w:t>Graphite Furnace AA</w:t>
            </w:r>
          </w:p>
        </w:tc>
        <w:tc>
          <w:tcPr>
            <w:tcW w:w="800" w:type="dxa"/>
            <w:tcBorders>
              <w:top w:val="nil"/>
              <w:left w:val="nil"/>
              <w:bottom w:val="nil"/>
              <w:right w:val="nil"/>
            </w:tcBorders>
            <w:shd w:val="clear" w:color="000000" w:fill="FFFF00"/>
            <w:noWrap/>
            <w:vAlign w:val="bottom"/>
            <w:hideMark/>
          </w:tcPr>
          <w:p w:rsidR="00436D1A" w:rsidRPr="00C71448" w:rsidRDefault="00436D1A" w:rsidP="00867DA4">
            <w:pPr>
              <w:spacing w:after="0"/>
              <w:contextualSpacing w:val="0"/>
              <w:rPr>
                <w:rFonts w:ascii="Calibri" w:eastAsia="Times New Roman" w:hAnsi="Calibri" w:cs="Times New Roman"/>
                <w:color w:val="000000"/>
                <w:sz w:val="22"/>
              </w:rPr>
            </w:pPr>
            <w:r w:rsidRPr="00C71448">
              <w:rPr>
                <w:rFonts w:ascii="Calibri" w:eastAsia="Times New Roman" w:hAnsi="Calibri" w:cs="Times New Roman"/>
                <w:color w:val="000000"/>
                <w:sz w:val="22"/>
              </w:rPr>
              <w:t> </w:t>
            </w:r>
          </w:p>
        </w:tc>
        <w:tc>
          <w:tcPr>
            <w:tcW w:w="1773" w:type="dxa"/>
            <w:tcBorders>
              <w:top w:val="nil"/>
              <w:left w:val="nil"/>
              <w:bottom w:val="nil"/>
              <w:right w:val="nil"/>
            </w:tcBorders>
            <w:shd w:val="clear" w:color="auto" w:fill="auto"/>
            <w:noWrap/>
            <w:vAlign w:val="bottom"/>
            <w:hideMark/>
          </w:tcPr>
          <w:p w:rsidR="00436D1A" w:rsidRPr="00C71448" w:rsidRDefault="00436D1A" w:rsidP="00867DA4">
            <w:pPr>
              <w:spacing w:after="0"/>
              <w:contextualSpacing w:val="0"/>
              <w:rPr>
                <w:rFonts w:eastAsia="Times New Roman" w:cs="Times New Roman"/>
                <w:color w:val="000000"/>
                <w:szCs w:val="24"/>
              </w:rPr>
            </w:pPr>
            <w:r w:rsidRPr="00C71448">
              <w:rPr>
                <w:rFonts w:eastAsia="Times New Roman" w:cs="Times New Roman"/>
                <w:color w:val="000000"/>
                <w:szCs w:val="24"/>
              </w:rPr>
              <w:t>ICP- Mass Spec</w:t>
            </w:r>
          </w:p>
        </w:tc>
        <w:tc>
          <w:tcPr>
            <w:tcW w:w="800" w:type="dxa"/>
            <w:tcBorders>
              <w:top w:val="nil"/>
              <w:left w:val="nil"/>
              <w:bottom w:val="nil"/>
              <w:right w:val="nil"/>
            </w:tcBorders>
            <w:shd w:val="clear" w:color="000000" w:fill="00B050"/>
            <w:noWrap/>
            <w:vAlign w:val="bottom"/>
            <w:hideMark/>
          </w:tcPr>
          <w:p w:rsidR="00436D1A" w:rsidRPr="00C71448" w:rsidRDefault="00436D1A" w:rsidP="00867DA4">
            <w:pPr>
              <w:spacing w:after="0"/>
              <w:contextualSpacing w:val="0"/>
              <w:rPr>
                <w:rFonts w:ascii="Calibri" w:eastAsia="Times New Roman" w:hAnsi="Calibri" w:cs="Times New Roman"/>
                <w:color w:val="000000"/>
                <w:sz w:val="22"/>
              </w:rPr>
            </w:pPr>
            <w:r w:rsidRPr="00C71448">
              <w:rPr>
                <w:rFonts w:ascii="Calibri" w:eastAsia="Times New Roman" w:hAnsi="Calibri" w:cs="Times New Roman"/>
                <w:color w:val="000000"/>
                <w:sz w:val="22"/>
              </w:rPr>
              <w:t> </w:t>
            </w:r>
          </w:p>
        </w:tc>
        <w:tc>
          <w:tcPr>
            <w:tcW w:w="2400" w:type="dxa"/>
            <w:tcBorders>
              <w:top w:val="nil"/>
              <w:left w:val="nil"/>
              <w:bottom w:val="nil"/>
              <w:right w:val="nil"/>
            </w:tcBorders>
            <w:shd w:val="clear" w:color="auto" w:fill="auto"/>
            <w:noWrap/>
            <w:vAlign w:val="bottom"/>
            <w:hideMark/>
          </w:tcPr>
          <w:p w:rsidR="00436D1A" w:rsidRPr="00C71448" w:rsidRDefault="00436D1A" w:rsidP="00867DA4">
            <w:pPr>
              <w:spacing w:after="0"/>
              <w:contextualSpacing w:val="0"/>
              <w:rPr>
                <w:rFonts w:eastAsia="Times New Roman" w:cs="Times New Roman"/>
                <w:color w:val="000000"/>
                <w:szCs w:val="24"/>
              </w:rPr>
            </w:pPr>
            <w:r w:rsidRPr="00C71448">
              <w:rPr>
                <w:rFonts w:eastAsia="Times New Roman" w:cs="Times New Roman"/>
                <w:color w:val="000000"/>
                <w:szCs w:val="24"/>
              </w:rPr>
              <w:t>Gaseous Hydride-AA</w:t>
            </w:r>
          </w:p>
        </w:tc>
        <w:tc>
          <w:tcPr>
            <w:tcW w:w="800" w:type="dxa"/>
            <w:tcBorders>
              <w:top w:val="nil"/>
              <w:left w:val="nil"/>
              <w:bottom w:val="nil"/>
              <w:right w:val="nil"/>
            </w:tcBorders>
            <w:shd w:val="clear" w:color="000000" w:fill="7030A0"/>
            <w:noWrap/>
            <w:vAlign w:val="bottom"/>
            <w:hideMark/>
          </w:tcPr>
          <w:p w:rsidR="00436D1A" w:rsidRPr="00C71448" w:rsidRDefault="00436D1A" w:rsidP="00867DA4">
            <w:pPr>
              <w:spacing w:after="0"/>
              <w:contextualSpacing w:val="0"/>
              <w:rPr>
                <w:rFonts w:ascii="Calibri" w:eastAsia="Times New Roman" w:hAnsi="Calibri" w:cs="Times New Roman"/>
                <w:color w:val="000000"/>
                <w:sz w:val="22"/>
              </w:rPr>
            </w:pPr>
            <w:r w:rsidRPr="00C71448">
              <w:rPr>
                <w:rFonts w:ascii="Calibri" w:eastAsia="Times New Roman" w:hAnsi="Calibri" w:cs="Times New Roman"/>
                <w:color w:val="000000"/>
                <w:sz w:val="22"/>
              </w:rPr>
              <w:t> </w:t>
            </w:r>
          </w:p>
        </w:tc>
      </w:tr>
    </w:tbl>
    <w:p w:rsidR="00436D1A" w:rsidRDefault="00436D1A" w:rsidP="00A837D3"/>
    <w:p w:rsidR="00436D1A" w:rsidRDefault="00436D1A" w:rsidP="00A837D3"/>
    <w:p w:rsidR="00A837D3" w:rsidRDefault="00A837D3" w:rsidP="00113586">
      <w:pPr>
        <w:spacing w:line="276" w:lineRule="auto"/>
      </w:pPr>
      <w:r>
        <w:t xml:space="preserve">As one can see from this data, there is not a significant bias associated with either analytical technique.  In order to be considered a statistically relevant bias, one would need at least 20% difference between the recoveries reported.  The data received in Phase I was surprisingly accurate considering the difficulty normally encountered during the analysis of samples for Se.  </w:t>
      </w:r>
      <w:r w:rsidR="00BB03B7">
        <w:t>However, o</w:t>
      </w:r>
      <w:r>
        <w:t>ne must bear in mind that these results were produced from a clean sample</w:t>
      </w:r>
      <w:r w:rsidR="00BB03B7">
        <w:t>.  Furthermore, the laboratory knew it was a test sample</w:t>
      </w:r>
      <w:r>
        <w:t xml:space="preserve"> and the laboratory </w:t>
      </w:r>
      <w:r w:rsidR="005B01E4">
        <w:t>was asked to analyze for one element, Selenium.</w:t>
      </w:r>
    </w:p>
    <w:p w:rsidR="00A837D3" w:rsidRPr="006365D0" w:rsidRDefault="00A837D3" w:rsidP="00A837D3">
      <w:pPr>
        <w:rPr>
          <w:b/>
          <w:sz w:val="32"/>
          <w:szCs w:val="32"/>
        </w:rPr>
      </w:pPr>
      <w:r w:rsidRPr="006365D0">
        <w:rPr>
          <w:b/>
          <w:sz w:val="32"/>
          <w:szCs w:val="32"/>
        </w:rPr>
        <w:lastRenderedPageBreak/>
        <w:t>Phase II</w:t>
      </w:r>
    </w:p>
    <w:p w:rsidR="00A837D3" w:rsidRDefault="00A837D3" w:rsidP="00113586">
      <w:pPr>
        <w:spacing w:line="276" w:lineRule="auto"/>
      </w:pPr>
      <w:r>
        <w:tab/>
        <w:t>After reviewing the data from Phase I of the study it was apparent that Phase II would have to be implemented.  Phase II consisted of a double-blind PT study being supplied to the laboratory.  In order for a double-blind study to be effective, the laboratory must not know that the sample is a PT sample.  In order to accomplish this, an artificial sample was prepared by ERA.  The sample contained Se at 5µg/L, and the following elements at approximate concentrations; iron (Fe) – 2000 µg/L, manganese (Mn) – 500 µg/L, aluminum (Al) – 1000 µg/L, calcium (Ca) – 15000 µg/L, and magnesium (Mg) – 7500 µg/L.  This sample was prepared as a whole volume sample preserved with nitric acid (HNO</w:t>
      </w:r>
      <w:r w:rsidRPr="00181AF8">
        <w:rPr>
          <w:vertAlign w:val="subscript"/>
        </w:rPr>
        <w:t>3</w:t>
      </w:r>
      <w:r>
        <w:t>) just like a regular compliance sample.  WVDEP personnel also collected a non-acidified sample for submission with the PT sample in order to further sell the labs on the premise that this was a regular sample submission.  The values reported on the non-acidified sample were not assessed under this study protocol.  The samples were packaged on ice and delivered to the laboratories by WVDEP personnel or by contract carrier (FEDEX).  During Phase II of this study WVDEP was only able to asses</w:t>
      </w:r>
      <w:r w:rsidR="005B01E4">
        <w:t>s</w:t>
      </w:r>
      <w:r>
        <w:t xml:space="preserve"> those laboratories participating as WV vendors.  In other words, only those laboratories under contract with WVDEP to analyze samples could be assessed under a double-blind situation.  If WVDEP would have taken a sample to a laboratory that does not routinely analyze samples for WVDEP then the laboratory would have known that they were being assessed.  The one exception was American Electric Power-Dolan.  WVDEP did send a sample to them as a single-blind full volume sample in order to have a larger population of data for assessment by ICP/MS.</w:t>
      </w:r>
    </w:p>
    <w:p w:rsidR="00A837D3" w:rsidRDefault="00A837D3" w:rsidP="00A837D3"/>
    <w:p w:rsidR="00F30B1D" w:rsidRDefault="00F30B1D" w:rsidP="00A837D3"/>
    <w:p w:rsidR="00F30B1D" w:rsidRDefault="00F30B1D" w:rsidP="00A837D3"/>
    <w:p w:rsidR="00F30B1D" w:rsidRDefault="00F30B1D" w:rsidP="00A837D3"/>
    <w:p w:rsidR="00F30B1D" w:rsidRDefault="00F30B1D" w:rsidP="00A837D3"/>
    <w:p w:rsidR="00F30B1D" w:rsidRDefault="00F30B1D" w:rsidP="00A837D3"/>
    <w:p w:rsidR="00F30B1D" w:rsidRDefault="00F30B1D" w:rsidP="00A837D3"/>
    <w:p w:rsidR="00F30B1D" w:rsidRDefault="00F30B1D" w:rsidP="00A837D3"/>
    <w:p w:rsidR="00F30B1D" w:rsidRDefault="00F30B1D" w:rsidP="00A837D3"/>
    <w:p w:rsidR="00F30B1D" w:rsidRDefault="00F30B1D" w:rsidP="00A837D3"/>
    <w:p w:rsidR="00F30B1D" w:rsidRDefault="00F30B1D" w:rsidP="00A837D3"/>
    <w:p w:rsidR="00F30B1D" w:rsidRDefault="00F30B1D" w:rsidP="00A837D3"/>
    <w:p w:rsidR="00F30B1D" w:rsidRDefault="00F30B1D" w:rsidP="00A837D3"/>
    <w:p w:rsidR="00F30B1D" w:rsidRDefault="00F30B1D" w:rsidP="00A837D3"/>
    <w:p w:rsidR="00F30B1D" w:rsidRDefault="00F30B1D" w:rsidP="00A837D3"/>
    <w:p w:rsidR="00F30B1D" w:rsidRDefault="00F30B1D" w:rsidP="00A837D3"/>
    <w:p w:rsidR="00F30B1D" w:rsidRDefault="00F30B1D" w:rsidP="00A837D3"/>
    <w:p w:rsidR="00F30B1D" w:rsidRDefault="00F30B1D" w:rsidP="00A837D3"/>
    <w:p w:rsidR="00F30B1D" w:rsidRDefault="00F30B1D" w:rsidP="00A837D3"/>
    <w:p w:rsidR="00F30B1D" w:rsidRDefault="00F30B1D" w:rsidP="00A837D3"/>
    <w:p w:rsidR="00F30B1D" w:rsidRDefault="00F30B1D" w:rsidP="00A837D3"/>
    <w:p w:rsidR="00F30B1D" w:rsidRDefault="00F30B1D" w:rsidP="00A837D3"/>
    <w:p w:rsidR="00F30B1D" w:rsidRDefault="00F30B1D" w:rsidP="00A837D3"/>
    <w:p w:rsidR="00A837D3" w:rsidRDefault="00A837D3" w:rsidP="00A837D3">
      <w:r>
        <w:lastRenderedPageBreak/>
        <w:t>The following table depicts the data used for evaluation under Phase II</w:t>
      </w:r>
      <w:r w:rsidR="00902DC1">
        <w:t xml:space="preserve"> (5 µg/L)</w:t>
      </w:r>
      <w:r>
        <w:t>.</w:t>
      </w:r>
    </w:p>
    <w:p w:rsidR="00867DA4" w:rsidRDefault="00867DA4" w:rsidP="00A837D3">
      <w:pPr>
        <w:rPr>
          <w:b/>
          <w:sz w:val="32"/>
          <w:szCs w:val="32"/>
        </w:rPr>
      </w:pPr>
    </w:p>
    <w:p w:rsidR="00A837D3" w:rsidRPr="006365D0" w:rsidRDefault="00A837D3" w:rsidP="00A837D3">
      <w:pPr>
        <w:rPr>
          <w:b/>
          <w:sz w:val="32"/>
          <w:szCs w:val="32"/>
        </w:rPr>
      </w:pPr>
      <w:r w:rsidRPr="006365D0">
        <w:rPr>
          <w:b/>
          <w:sz w:val="32"/>
          <w:szCs w:val="32"/>
        </w:rPr>
        <w:t>Table 3.</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2"/>
        <w:gridCol w:w="974"/>
        <w:gridCol w:w="1069"/>
        <w:gridCol w:w="890"/>
        <w:gridCol w:w="1319"/>
        <w:gridCol w:w="1728"/>
        <w:gridCol w:w="1021"/>
      </w:tblGrid>
      <w:tr w:rsidR="00EB0561" w:rsidRPr="00EB0561" w:rsidTr="00436D1A">
        <w:trPr>
          <w:trHeight w:val="405"/>
        </w:trPr>
        <w:tc>
          <w:tcPr>
            <w:tcW w:w="2482" w:type="dxa"/>
            <w:shd w:val="clear" w:color="auto" w:fill="auto"/>
            <w:noWrap/>
            <w:vAlign w:val="bottom"/>
            <w:hideMark/>
          </w:tcPr>
          <w:p w:rsidR="00EB0561" w:rsidRPr="00436D1A" w:rsidRDefault="00EB0561" w:rsidP="00EB0561">
            <w:pPr>
              <w:spacing w:after="0"/>
              <w:contextualSpacing w:val="0"/>
              <w:rPr>
                <w:rFonts w:eastAsia="Times New Roman" w:cs="Times New Roman"/>
                <w:b/>
                <w:bCs/>
                <w:sz w:val="28"/>
                <w:szCs w:val="28"/>
              </w:rPr>
            </w:pPr>
            <w:r w:rsidRPr="00436D1A">
              <w:rPr>
                <w:rFonts w:eastAsia="Times New Roman" w:cs="Times New Roman"/>
                <w:b/>
                <w:bCs/>
                <w:sz w:val="28"/>
                <w:szCs w:val="28"/>
              </w:rPr>
              <w:t>Lab</w:t>
            </w:r>
            <w:r w:rsidR="00436D1A">
              <w:rPr>
                <w:rFonts w:eastAsia="Times New Roman" w:cs="Times New Roman"/>
                <w:b/>
                <w:bCs/>
                <w:sz w:val="28"/>
                <w:szCs w:val="28"/>
              </w:rPr>
              <w:t>oratory</w:t>
            </w:r>
          </w:p>
        </w:tc>
        <w:tc>
          <w:tcPr>
            <w:tcW w:w="974" w:type="dxa"/>
            <w:shd w:val="clear" w:color="auto" w:fill="auto"/>
            <w:noWrap/>
            <w:vAlign w:val="bottom"/>
            <w:hideMark/>
          </w:tcPr>
          <w:p w:rsidR="00EB0561" w:rsidRPr="00436D1A" w:rsidRDefault="00EB0561" w:rsidP="00EB0561">
            <w:pPr>
              <w:spacing w:after="0"/>
              <w:contextualSpacing w:val="0"/>
              <w:rPr>
                <w:rFonts w:eastAsia="Times New Roman" w:cs="Times New Roman"/>
                <w:b/>
                <w:sz w:val="28"/>
                <w:szCs w:val="28"/>
              </w:rPr>
            </w:pPr>
            <w:r w:rsidRPr="00436D1A">
              <w:rPr>
                <w:rFonts w:eastAsia="Times New Roman" w:cs="Times New Roman"/>
                <w:b/>
                <w:sz w:val="28"/>
                <w:szCs w:val="28"/>
              </w:rPr>
              <w:t>MDL</w:t>
            </w:r>
          </w:p>
        </w:tc>
        <w:tc>
          <w:tcPr>
            <w:tcW w:w="1069" w:type="dxa"/>
            <w:shd w:val="clear" w:color="auto" w:fill="auto"/>
            <w:noWrap/>
            <w:vAlign w:val="bottom"/>
            <w:hideMark/>
          </w:tcPr>
          <w:p w:rsidR="00EB0561" w:rsidRPr="00436D1A" w:rsidRDefault="00EB0561" w:rsidP="00EB0561">
            <w:pPr>
              <w:spacing w:after="0"/>
              <w:contextualSpacing w:val="0"/>
              <w:rPr>
                <w:rFonts w:eastAsia="Times New Roman" w:cs="Times New Roman"/>
                <w:b/>
                <w:sz w:val="28"/>
                <w:szCs w:val="28"/>
              </w:rPr>
            </w:pPr>
            <w:r w:rsidRPr="00436D1A">
              <w:rPr>
                <w:rFonts w:eastAsia="Times New Roman" w:cs="Times New Roman"/>
                <w:b/>
                <w:sz w:val="28"/>
                <w:szCs w:val="28"/>
              </w:rPr>
              <w:t>Result</w:t>
            </w:r>
          </w:p>
        </w:tc>
        <w:tc>
          <w:tcPr>
            <w:tcW w:w="890" w:type="dxa"/>
            <w:shd w:val="clear" w:color="auto" w:fill="auto"/>
            <w:noWrap/>
            <w:vAlign w:val="bottom"/>
            <w:hideMark/>
          </w:tcPr>
          <w:p w:rsidR="00EB0561" w:rsidRPr="00436D1A" w:rsidRDefault="00EB0561" w:rsidP="00EB0561">
            <w:pPr>
              <w:spacing w:after="0"/>
              <w:contextualSpacing w:val="0"/>
              <w:rPr>
                <w:rFonts w:eastAsia="Times New Roman" w:cs="Times New Roman"/>
                <w:b/>
                <w:sz w:val="28"/>
                <w:szCs w:val="28"/>
              </w:rPr>
            </w:pPr>
            <w:r w:rsidRPr="00436D1A">
              <w:rPr>
                <w:rFonts w:eastAsia="Times New Roman" w:cs="Times New Roman"/>
                <w:b/>
                <w:sz w:val="28"/>
                <w:szCs w:val="28"/>
              </w:rPr>
              <w:t>units</w:t>
            </w:r>
          </w:p>
        </w:tc>
        <w:tc>
          <w:tcPr>
            <w:tcW w:w="1319" w:type="dxa"/>
            <w:shd w:val="clear" w:color="auto" w:fill="auto"/>
            <w:noWrap/>
            <w:vAlign w:val="bottom"/>
            <w:hideMark/>
          </w:tcPr>
          <w:p w:rsidR="00EB0561" w:rsidRPr="00436D1A" w:rsidRDefault="00EB0561" w:rsidP="00EB0561">
            <w:pPr>
              <w:spacing w:after="0"/>
              <w:contextualSpacing w:val="0"/>
              <w:rPr>
                <w:rFonts w:eastAsia="Times New Roman" w:cs="Times New Roman"/>
                <w:b/>
                <w:sz w:val="28"/>
                <w:szCs w:val="28"/>
              </w:rPr>
            </w:pPr>
            <w:r w:rsidRPr="00436D1A">
              <w:rPr>
                <w:rFonts w:eastAsia="Times New Roman" w:cs="Times New Roman"/>
                <w:b/>
                <w:sz w:val="28"/>
                <w:szCs w:val="28"/>
              </w:rPr>
              <w:t xml:space="preserve">Date </w:t>
            </w:r>
          </w:p>
        </w:tc>
        <w:tc>
          <w:tcPr>
            <w:tcW w:w="1728" w:type="dxa"/>
            <w:shd w:val="clear" w:color="auto" w:fill="auto"/>
            <w:noWrap/>
            <w:vAlign w:val="bottom"/>
            <w:hideMark/>
          </w:tcPr>
          <w:p w:rsidR="00EB0561" w:rsidRPr="00436D1A" w:rsidRDefault="00436D1A" w:rsidP="00436D1A">
            <w:pPr>
              <w:spacing w:after="0"/>
              <w:contextualSpacing w:val="0"/>
              <w:jc w:val="center"/>
              <w:rPr>
                <w:rFonts w:eastAsia="Times New Roman" w:cs="Times New Roman"/>
                <w:b/>
                <w:sz w:val="28"/>
                <w:szCs w:val="28"/>
              </w:rPr>
            </w:pPr>
            <w:r w:rsidRPr="00436D1A">
              <w:rPr>
                <w:rFonts w:eastAsia="Times New Roman" w:cs="Times New Roman"/>
                <w:b/>
                <w:sz w:val="28"/>
                <w:szCs w:val="28"/>
              </w:rPr>
              <w:t>Instrument</w:t>
            </w:r>
          </w:p>
        </w:tc>
        <w:tc>
          <w:tcPr>
            <w:tcW w:w="1021" w:type="dxa"/>
            <w:shd w:val="clear" w:color="auto" w:fill="auto"/>
            <w:noWrap/>
            <w:vAlign w:val="bottom"/>
            <w:hideMark/>
          </w:tcPr>
          <w:p w:rsidR="00EB0561" w:rsidRPr="00436D1A" w:rsidRDefault="00EB0561" w:rsidP="00EB0561">
            <w:pPr>
              <w:spacing w:after="0"/>
              <w:contextualSpacing w:val="0"/>
              <w:rPr>
                <w:rFonts w:eastAsia="Times New Roman" w:cs="Times New Roman"/>
                <w:b/>
                <w:sz w:val="28"/>
                <w:szCs w:val="28"/>
              </w:rPr>
            </w:pPr>
            <w:r w:rsidRPr="00436D1A">
              <w:rPr>
                <w:rFonts w:eastAsia="Times New Roman" w:cs="Times New Roman"/>
                <w:b/>
                <w:sz w:val="28"/>
                <w:szCs w:val="28"/>
              </w:rPr>
              <w:t>% Rec.</w:t>
            </w:r>
          </w:p>
        </w:tc>
      </w:tr>
      <w:tr w:rsidR="00EB0561" w:rsidRPr="00EB0561" w:rsidTr="00436D1A">
        <w:trPr>
          <w:trHeight w:val="315"/>
        </w:trPr>
        <w:tc>
          <w:tcPr>
            <w:tcW w:w="2482"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r w:rsidRPr="00EB0561">
              <w:rPr>
                <w:rFonts w:eastAsia="Times New Roman" w:cs="Times New Roman"/>
                <w:szCs w:val="24"/>
              </w:rPr>
              <w:t>Appalachian Laboratories</w:t>
            </w:r>
          </w:p>
        </w:tc>
        <w:tc>
          <w:tcPr>
            <w:tcW w:w="974"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p>
        </w:tc>
        <w:tc>
          <w:tcPr>
            <w:tcW w:w="1069" w:type="dxa"/>
            <w:shd w:val="clear" w:color="auto" w:fill="auto"/>
            <w:noWrap/>
            <w:vAlign w:val="bottom"/>
            <w:hideMark/>
          </w:tcPr>
          <w:p w:rsidR="00EB0561" w:rsidRPr="00EB0561" w:rsidRDefault="00EB0561" w:rsidP="00EB0561">
            <w:pPr>
              <w:spacing w:after="0"/>
              <w:contextualSpacing w:val="0"/>
              <w:jc w:val="right"/>
              <w:rPr>
                <w:rFonts w:eastAsia="Times New Roman" w:cs="Times New Roman"/>
                <w:szCs w:val="24"/>
              </w:rPr>
            </w:pPr>
            <w:r w:rsidRPr="00EB0561">
              <w:rPr>
                <w:rFonts w:eastAsia="Times New Roman" w:cs="Times New Roman"/>
                <w:szCs w:val="24"/>
              </w:rPr>
              <w:t>2.36</w:t>
            </w:r>
          </w:p>
        </w:tc>
        <w:tc>
          <w:tcPr>
            <w:tcW w:w="890"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r w:rsidRPr="00EB0561">
              <w:rPr>
                <w:rFonts w:eastAsia="Times New Roman" w:cs="Times New Roman"/>
                <w:szCs w:val="24"/>
              </w:rPr>
              <w:t>µg/L</w:t>
            </w:r>
          </w:p>
        </w:tc>
        <w:tc>
          <w:tcPr>
            <w:tcW w:w="1319" w:type="dxa"/>
            <w:shd w:val="clear" w:color="auto" w:fill="auto"/>
            <w:noWrap/>
            <w:vAlign w:val="bottom"/>
            <w:hideMark/>
          </w:tcPr>
          <w:p w:rsidR="00EB0561" w:rsidRPr="00EB0561" w:rsidRDefault="00EB0561" w:rsidP="00EB0561">
            <w:pPr>
              <w:spacing w:after="0"/>
              <w:contextualSpacing w:val="0"/>
              <w:jc w:val="right"/>
              <w:rPr>
                <w:rFonts w:eastAsia="Times New Roman" w:cs="Times New Roman"/>
                <w:szCs w:val="24"/>
              </w:rPr>
            </w:pPr>
            <w:r w:rsidRPr="00EB0561">
              <w:rPr>
                <w:rFonts w:eastAsia="Times New Roman" w:cs="Times New Roman"/>
                <w:szCs w:val="24"/>
              </w:rPr>
              <w:t>4/25/2008</w:t>
            </w:r>
          </w:p>
        </w:tc>
        <w:tc>
          <w:tcPr>
            <w:tcW w:w="1728" w:type="dxa"/>
            <w:shd w:val="clear" w:color="auto" w:fill="auto"/>
            <w:noWrap/>
            <w:vAlign w:val="bottom"/>
            <w:hideMark/>
          </w:tcPr>
          <w:p w:rsidR="00EB0561" w:rsidRPr="00EB0561" w:rsidRDefault="00436D1A" w:rsidP="00436D1A">
            <w:pPr>
              <w:spacing w:after="0"/>
              <w:contextualSpacing w:val="0"/>
              <w:jc w:val="center"/>
              <w:rPr>
                <w:rFonts w:eastAsia="Times New Roman" w:cs="Times New Roman"/>
                <w:szCs w:val="24"/>
              </w:rPr>
            </w:pPr>
            <w:r>
              <w:rPr>
                <w:rFonts w:eastAsia="Times New Roman" w:cs="Times New Roman"/>
                <w:szCs w:val="24"/>
              </w:rPr>
              <w:t>GFAA</w:t>
            </w:r>
          </w:p>
        </w:tc>
        <w:tc>
          <w:tcPr>
            <w:tcW w:w="1021" w:type="dxa"/>
            <w:shd w:val="clear" w:color="auto" w:fill="auto"/>
            <w:noWrap/>
            <w:vAlign w:val="bottom"/>
            <w:hideMark/>
          </w:tcPr>
          <w:p w:rsidR="00EB0561" w:rsidRPr="00EB0561" w:rsidRDefault="00EB0561" w:rsidP="00EB0561">
            <w:pPr>
              <w:spacing w:after="0"/>
              <w:contextualSpacing w:val="0"/>
              <w:jc w:val="right"/>
              <w:rPr>
                <w:rFonts w:eastAsia="Times New Roman" w:cs="Times New Roman"/>
                <w:szCs w:val="24"/>
              </w:rPr>
            </w:pPr>
            <w:r w:rsidRPr="00EB0561">
              <w:rPr>
                <w:rFonts w:eastAsia="Times New Roman" w:cs="Times New Roman"/>
                <w:szCs w:val="24"/>
              </w:rPr>
              <w:t>47.2</w:t>
            </w:r>
          </w:p>
        </w:tc>
      </w:tr>
      <w:tr w:rsidR="00EB0561" w:rsidRPr="00EB0561" w:rsidTr="00436D1A">
        <w:trPr>
          <w:trHeight w:val="315"/>
        </w:trPr>
        <w:tc>
          <w:tcPr>
            <w:tcW w:w="2482"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r w:rsidRPr="00EB0561">
              <w:rPr>
                <w:rFonts w:eastAsia="Times New Roman" w:cs="Times New Roman"/>
                <w:szCs w:val="24"/>
              </w:rPr>
              <w:t>Appalachian States</w:t>
            </w:r>
          </w:p>
        </w:tc>
        <w:tc>
          <w:tcPr>
            <w:tcW w:w="974"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p>
        </w:tc>
        <w:tc>
          <w:tcPr>
            <w:tcW w:w="1069" w:type="dxa"/>
            <w:shd w:val="clear" w:color="auto" w:fill="auto"/>
            <w:noWrap/>
            <w:vAlign w:val="bottom"/>
            <w:hideMark/>
          </w:tcPr>
          <w:p w:rsidR="00EB0561" w:rsidRPr="00EB0561" w:rsidRDefault="00EB0561" w:rsidP="00EB0561">
            <w:pPr>
              <w:spacing w:after="0"/>
              <w:contextualSpacing w:val="0"/>
              <w:jc w:val="right"/>
              <w:rPr>
                <w:rFonts w:eastAsia="Times New Roman" w:cs="Times New Roman"/>
                <w:szCs w:val="24"/>
              </w:rPr>
            </w:pPr>
            <w:r w:rsidRPr="00EB0561">
              <w:rPr>
                <w:rFonts w:eastAsia="Times New Roman" w:cs="Times New Roman"/>
                <w:szCs w:val="24"/>
              </w:rPr>
              <w:t>5.3</w:t>
            </w:r>
          </w:p>
        </w:tc>
        <w:tc>
          <w:tcPr>
            <w:tcW w:w="890"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r w:rsidRPr="00EB0561">
              <w:rPr>
                <w:rFonts w:eastAsia="Times New Roman" w:cs="Times New Roman"/>
                <w:szCs w:val="24"/>
              </w:rPr>
              <w:t>µg/L</w:t>
            </w:r>
          </w:p>
        </w:tc>
        <w:tc>
          <w:tcPr>
            <w:tcW w:w="1319" w:type="dxa"/>
            <w:shd w:val="clear" w:color="auto" w:fill="auto"/>
            <w:noWrap/>
            <w:vAlign w:val="bottom"/>
            <w:hideMark/>
          </w:tcPr>
          <w:p w:rsidR="00EB0561" w:rsidRPr="00EB0561" w:rsidRDefault="00EB0561" w:rsidP="00EB0561">
            <w:pPr>
              <w:spacing w:after="0"/>
              <w:contextualSpacing w:val="0"/>
              <w:jc w:val="right"/>
              <w:rPr>
                <w:rFonts w:eastAsia="Times New Roman" w:cs="Times New Roman"/>
                <w:szCs w:val="24"/>
              </w:rPr>
            </w:pPr>
            <w:r w:rsidRPr="00EB0561">
              <w:rPr>
                <w:rFonts w:eastAsia="Times New Roman" w:cs="Times New Roman"/>
                <w:szCs w:val="24"/>
              </w:rPr>
              <w:t>4/30/2008</w:t>
            </w:r>
          </w:p>
        </w:tc>
        <w:tc>
          <w:tcPr>
            <w:tcW w:w="1728" w:type="dxa"/>
            <w:shd w:val="clear" w:color="auto" w:fill="auto"/>
            <w:noWrap/>
            <w:vAlign w:val="bottom"/>
            <w:hideMark/>
          </w:tcPr>
          <w:p w:rsidR="00EB0561" w:rsidRPr="00EB0561" w:rsidRDefault="00436D1A" w:rsidP="00436D1A">
            <w:pPr>
              <w:spacing w:after="0"/>
              <w:contextualSpacing w:val="0"/>
              <w:jc w:val="center"/>
              <w:rPr>
                <w:rFonts w:eastAsia="Times New Roman" w:cs="Times New Roman"/>
                <w:szCs w:val="24"/>
              </w:rPr>
            </w:pPr>
            <w:r>
              <w:rPr>
                <w:rFonts w:eastAsia="Times New Roman" w:cs="Times New Roman"/>
                <w:szCs w:val="24"/>
              </w:rPr>
              <w:t>GFAA</w:t>
            </w:r>
          </w:p>
        </w:tc>
        <w:tc>
          <w:tcPr>
            <w:tcW w:w="1021" w:type="dxa"/>
            <w:shd w:val="clear" w:color="auto" w:fill="auto"/>
            <w:noWrap/>
            <w:vAlign w:val="bottom"/>
            <w:hideMark/>
          </w:tcPr>
          <w:p w:rsidR="00EB0561" w:rsidRPr="00EB0561" w:rsidRDefault="00EB0561" w:rsidP="00EB0561">
            <w:pPr>
              <w:spacing w:after="0"/>
              <w:contextualSpacing w:val="0"/>
              <w:jc w:val="right"/>
              <w:rPr>
                <w:rFonts w:eastAsia="Times New Roman" w:cs="Times New Roman"/>
                <w:szCs w:val="24"/>
              </w:rPr>
            </w:pPr>
            <w:r w:rsidRPr="00EB0561">
              <w:rPr>
                <w:rFonts w:eastAsia="Times New Roman" w:cs="Times New Roman"/>
                <w:szCs w:val="24"/>
              </w:rPr>
              <w:t>106.0</w:t>
            </w:r>
          </w:p>
        </w:tc>
      </w:tr>
      <w:tr w:rsidR="00EB0561" w:rsidRPr="00EB0561" w:rsidTr="00436D1A">
        <w:trPr>
          <w:trHeight w:val="315"/>
        </w:trPr>
        <w:tc>
          <w:tcPr>
            <w:tcW w:w="2482"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r w:rsidRPr="00EB0561">
              <w:rPr>
                <w:rFonts w:eastAsia="Times New Roman" w:cs="Times New Roman"/>
                <w:szCs w:val="24"/>
              </w:rPr>
              <w:t>Standard Labs (NEST)</w:t>
            </w:r>
          </w:p>
        </w:tc>
        <w:tc>
          <w:tcPr>
            <w:tcW w:w="974"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p>
        </w:tc>
        <w:tc>
          <w:tcPr>
            <w:tcW w:w="1069" w:type="dxa"/>
            <w:shd w:val="clear" w:color="auto" w:fill="auto"/>
            <w:noWrap/>
            <w:vAlign w:val="bottom"/>
            <w:hideMark/>
          </w:tcPr>
          <w:p w:rsidR="00EB0561" w:rsidRPr="00EB0561" w:rsidRDefault="00EB0561" w:rsidP="00EB0561">
            <w:pPr>
              <w:spacing w:after="0"/>
              <w:contextualSpacing w:val="0"/>
              <w:jc w:val="right"/>
              <w:rPr>
                <w:rFonts w:eastAsia="Times New Roman" w:cs="Times New Roman"/>
                <w:szCs w:val="24"/>
              </w:rPr>
            </w:pPr>
            <w:r w:rsidRPr="00EB0561">
              <w:rPr>
                <w:rFonts w:eastAsia="Times New Roman" w:cs="Times New Roman"/>
                <w:szCs w:val="24"/>
              </w:rPr>
              <w:t>5.04</w:t>
            </w:r>
          </w:p>
        </w:tc>
        <w:tc>
          <w:tcPr>
            <w:tcW w:w="890"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r w:rsidRPr="00EB0561">
              <w:rPr>
                <w:rFonts w:eastAsia="Times New Roman" w:cs="Times New Roman"/>
                <w:szCs w:val="24"/>
              </w:rPr>
              <w:t>µg/L</w:t>
            </w:r>
          </w:p>
        </w:tc>
        <w:tc>
          <w:tcPr>
            <w:tcW w:w="1319" w:type="dxa"/>
            <w:shd w:val="clear" w:color="auto" w:fill="auto"/>
            <w:noWrap/>
            <w:vAlign w:val="bottom"/>
            <w:hideMark/>
          </w:tcPr>
          <w:p w:rsidR="00EB0561" w:rsidRPr="00EB0561" w:rsidRDefault="00EB0561" w:rsidP="00EB0561">
            <w:pPr>
              <w:spacing w:after="0"/>
              <w:contextualSpacing w:val="0"/>
              <w:jc w:val="right"/>
              <w:rPr>
                <w:rFonts w:eastAsia="Times New Roman" w:cs="Times New Roman"/>
                <w:szCs w:val="24"/>
              </w:rPr>
            </w:pPr>
            <w:r w:rsidRPr="00EB0561">
              <w:rPr>
                <w:rFonts w:eastAsia="Times New Roman" w:cs="Times New Roman"/>
                <w:szCs w:val="24"/>
              </w:rPr>
              <w:t>5/1/2008</w:t>
            </w:r>
          </w:p>
        </w:tc>
        <w:tc>
          <w:tcPr>
            <w:tcW w:w="1728" w:type="dxa"/>
            <w:shd w:val="clear" w:color="auto" w:fill="auto"/>
            <w:noWrap/>
            <w:vAlign w:val="bottom"/>
            <w:hideMark/>
          </w:tcPr>
          <w:p w:rsidR="00EB0561" w:rsidRPr="00EB0561" w:rsidRDefault="00436D1A" w:rsidP="00436D1A">
            <w:pPr>
              <w:spacing w:after="0"/>
              <w:contextualSpacing w:val="0"/>
              <w:jc w:val="center"/>
              <w:rPr>
                <w:rFonts w:eastAsia="Times New Roman" w:cs="Times New Roman"/>
                <w:szCs w:val="24"/>
              </w:rPr>
            </w:pPr>
            <w:r>
              <w:rPr>
                <w:rFonts w:eastAsia="Times New Roman" w:cs="Times New Roman"/>
                <w:szCs w:val="24"/>
              </w:rPr>
              <w:t>GFAA</w:t>
            </w:r>
          </w:p>
        </w:tc>
        <w:tc>
          <w:tcPr>
            <w:tcW w:w="1021" w:type="dxa"/>
            <w:shd w:val="clear" w:color="auto" w:fill="auto"/>
            <w:noWrap/>
            <w:vAlign w:val="bottom"/>
            <w:hideMark/>
          </w:tcPr>
          <w:p w:rsidR="00EB0561" w:rsidRPr="00EB0561" w:rsidRDefault="00EB0561" w:rsidP="00EB0561">
            <w:pPr>
              <w:spacing w:after="0"/>
              <w:contextualSpacing w:val="0"/>
              <w:jc w:val="right"/>
              <w:rPr>
                <w:rFonts w:eastAsia="Times New Roman" w:cs="Times New Roman"/>
                <w:szCs w:val="24"/>
              </w:rPr>
            </w:pPr>
            <w:r w:rsidRPr="00EB0561">
              <w:rPr>
                <w:rFonts w:eastAsia="Times New Roman" w:cs="Times New Roman"/>
                <w:szCs w:val="24"/>
              </w:rPr>
              <w:t>100.8</w:t>
            </w:r>
          </w:p>
        </w:tc>
      </w:tr>
      <w:tr w:rsidR="00EB0561" w:rsidRPr="00EB0561" w:rsidTr="00436D1A">
        <w:trPr>
          <w:trHeight w:val="315"/>
        </w:trPr>
        <w:tc>
          <w:tcPr>
            <w:tcW w:w="2482"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r w:rsidRPr="00EB0561">
              <w:rPr>
                <w:rFonts w:eastAsia="Times New Roman" w:cs="Times New Roman"/>
                <w:szCs w:val="24"/>
              </w:rPr>
              <w:t>REI Consultants</w:t>
            </w:r>
          </w:p>
        </w:tc>
        <w:tc>
          <w:tcPr>
            <w:tcW w:w="974"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p>
        </w:tc>
        <w:tc>
          <w:tcPr>
            <w:tcW w:w="1069" w:type="dxa"/>
            <w:shd w:val="clear" w:color="auto" w:fill="auto"/>
            <w:noWrap/>
            <w:vAlign w:val="bottom"/>
            <w:hideMark/>
          </w:tcPr>
          <w:p w:rsidR="00EB0561" w:rsidRPr="00EB0561" w:rsidRDefault="00EB0561" w:rsidP="00EB0561">
            <w:pPr>
              <w:spacing w:after="0"/>
              <w:contextualSpacing w:val="0"/>
              <w:jc w:val="right"/>
              <w:rPr>
                <w:rFonts w:eastAsia="Times New Roman" w:cs="Times New Roman"/>
                <w:szCs w:val="24"/>
              </w:rPr>
            </w:pPr>
            <w:r w:rsidRPr="00EB0561">
              <w:rPr>
                <w:rFonts w:eastAsia="Times New Roman" w:cs="Times New Roman"/>
                <w:szCs w:val="24"/>
              </w:rPr>
              <w:t>4.6</w:t>
            </w:r>
          </w:p>
        </w:tc>
        <w:tc>
          <w:tcPr>
            <w:tcW w:w="890"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r w:rsidRPr="00EB0561">
              <w:rPr>
                <w:rFonts w:eastAsia="Times New Roman" w:cs="Times New Roman"/>
                <w:szCs w:val="24"/>
              </w:rPr>
              <w:t>µg/L</w:t>
            </w:r>
          </w:p>
        </w:tc>
        <w:tc>
          <w:tcPr>
            <w:tcW w:w="1319" w:type="dxa"/>
            <w:shd w:val="clear" w:color="auto" w:fill="auto"/>
            <w:noWrap/>
            <w:vAlign w:val="bottom"/>
            <w:hideMark/>
          </w:tcPr>
          <w:p w:rsidR="00EB0561" w:rsidRPr="00EB0561" w:rsidRDefault="00EB0561" w:rsidP="00EB0561">
            <w:pPr>
              <w:spacing w:after="0"/>
              <w:contextualSpacing w:val="0"/>
              <w:jc w:val="right"/>
              <w:rPr>
                <w:rFonts w:eastAsia="Times New Roman" w:cs="Times New Roman"/>
                <w:szCs w:val="24"/>
              </w:rPr>
            </w:pPr>
            <w:r w:rsidRPr="00EB0561">
              <w:rPr>
                <w:rFonts w:eastAsia="Times New Roman" w:cs="Times New Roman"/>
                <w:szCs w:val="24"/>
              </w:rPr>
              <w:t>4/23/2008</w:t>
            </w:r>
          </w:p>
        </w:tc>
        <w:tc>
          <w:tcPr>
            <w:tcW w:w="1728" w:type="dxa"/>
            <w:shd w:val="clear" w:color="auto" w:fill="auto"/>
            <w:noWrap/>
            <w:vAlign w:val="bottom"/>
            <w:hideMark/>
          </w:tcPr>
          <w:p w:rsidR="00EB0561" w:rsidRPr="00EB0561" w:rsidRDefault="00436D1A" w:rsidP="00436D1A">
            <w:pPr>
              <w:spacing w:after="0"/>
              <w:contextualSpacing w:val="0"/>
              <w:jc w:val="center"/>
              <w:rPr>
                <w:rFonts w:eastAsia="Times New Roman" w:cs="Times New Roman"/>
                <w:szCs w:val="24"/>
              </w:rPr>
            </w:pPr>
            <w:r>
              <w:rPr>
                <w:rFonts w:eastAsia="Times New Roman" w:cs="Times New Roman"/>
                <w:szCs w:val="24"/>
              </w:rPr>
              <w:t>GFAA</w:t>
            </w:r>
          </w:p>
        </w:tc>
        <w:tc>
          <w:tcPr>
            <w:tcW w:w="1021" w:type="dxa"/>
            <w:shd w:val="clear" w:color="auto" w:fill="auto"/>
            <w:noWrap/>
            <w:vAlign w:val="bottom"/>
            <w:hideMark/>
          </w:tcPr>
          <w:p w:rsidR="00EB0561" w:rsidRPr="00EB0561" w:rsidRDefault="00EB0561" w:rsidP="00EB0561">
            <w:pPr>
              <w:spacing w:after="0"/>
              <w:contextualSpacing w:val="0"/>
              <w:jc w:val="right"/>
              <w:rPr>
                <w:rFonts w:eastAsia="Times New Roman" w:cs="Times New Roman"/>
                <w:szCs w:val="24"/>
              </w:rPr>
            </w:pPr>
            <w:r w:rsidRPr="00EB0561">
              <w:rPr>
                <w:rFonts w:eastAsia="Times New Roman" w:cs="Times New Roman"/>
                <w:szCs w:val="24"/>
              </w:rPr>
              <w:t>92.0</w:t>
            </w:r>
          </w:p>
        </w:tc>
      </w:tr>
      <w:tr w:rsidR="00EB0561" w:rsidRPr="00EB0561" w:rsidTr="00436D1A">
        <w:trPr>
          <w:trHeight w:val="315"/>
        </w:trPr>
        <w:tc>
          <w:tcPr>
            <w:tcW w:w="2482"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r w:rsidRPr="00EB0561">
              <w:rPr>
                <w:rFonts w:eastAsia="Times New Roman" w:cs="Times New Roman"/>
                <w:szCs w:val="24"/>
              </w:rPr>
              <w:t>Sturm Environmental</w:t>
            </w:r>
          </w:p>
        </w:tc>
        <w:tc>
          <w:tcPr>
            <w:tcW w:w="974"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p>
        </w:tc>
        <w:tc>
          <w:tcPr>
            <w:tcW w:w="1069" w:type="dxa"/>
            <w:shd w:val="clear" w:color="auto" w:fill="auto"/>
            <w:noWrap/>
            <w:vAlign w:val="bottom"/>
            <w:hideMark/>
          </w:tcPr>
          <w:p w:rsidR="00EB0561" w:rsidRPr="00EB0561" w:rsidRDefault="00EB0561" w:rsidP="00EB0561">
            <w:pPr>
              <w:spacing w:after="0"/>
              <w:contextualSpacing w:val="0"/>
              <w:jc w:val="right"/>
              <w:rPr>
                <w:rFonts w:eastAsia="Times New Roman" w:cs="Times New Roman"/>
                <w:szCs w:val="24"/>
              </w:rPr>
            </w:pPr>
            <w:r w:rsidRPr="00EB0561">
              <w:rPr>
                <w:rFonts w:eastAsia="Times New Roman" w:cs="Times New Roman"/>
                <w:szCs w:val="24"/>
              </w:rPr>
              <w:t>4.5</w:t>
            </w:r>
          </w:p>
        </w:tc>
        <w:tc>
          <w:tcPr>
            <w:tcW w:w="890"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r w:rsidRPr="00EB0561">
              <w:rPr>
                <w:rFonts w:eastAsia="Times New Roman" w:cs="Times New Roman"/>
                <w:szCs w:val="24"/>
              </w:rPr>
              <w:t>µg/L</w:t>
            </w:r>
          </w:p>
        </w:tc>
        <w:tc>
          <w:tcPr>
            <w:tcW w:w="1319" w:type="dxa"/>
            <w:shd w:val="clear" w:color="auto" w:fill="auto"/>
            <w:noWrap/>
            <w:vAlign w:val="bottom"/>
            <w:hideMark/>
          </w:tcPr>
          <w:p w:rsidR="00EB0561" w:rsidRPr="00EB0561" w:rsidRDefault="00EB0561" w:rsidP="00EB0561">
            <w:pPr>
              <w:spacing w:after="0"/>
              <w:contextualSpacing w:val="0"/>
              <w:jc w:val="right"/>
              <w:rPr>
                <w:rFonts w:eastAsia="Times New Roman" w:cs="Times New Roman"/>
                <w:szCs w:val="24"/>
              </w:rPr>
            </w:pPr>
            <w:r w:rsidRPr="00EB0561">
              <w:rPr>
                <w:rFonts w:eastAsia="Times New Roman" w:cs="Times New Roman"/>
                <w:szCs w:val="24"/>
              </w:rPr>
              <w:t>4/16/2008</w:t>
            </w:r>
          </w:p>
        </w:tc>
        <w:tc>
          <w:tcPr>
            <w:tcW w:w="1728" w:type="dxa"/>
            <w:shd w:val="clear" w:color="auto" w:fill="auto"/>
            <w:noWrap/>
            <w:vAlign w:val="bottom"/>
            <w:hideMark/>
          </w:tcPr>
          <w:p w:rsidR="00EB0561" w:rsidRPr="00EB0561" w:rsidRDefault="00436D1A" w:rsidP="00436D1A">
            <w:pPr>
              <w:spacing w:after="0"/>
              <w:contextualSpacing w:val="0"/>
              <w:jc w:val="center"/>
              <w:rPr>
                <w:rFonts w:eastAsia="Times New Roman" w:cs="Times New Roman"/>
                <w:szCs w:val="24"/>
              </w:rPr>
            </w:pPr>
            <w:r>
              <w:rPr>
                <w:rFonts w:eastAsia="Times New Roman" w:cs="Times New Roman"/>
                <w:szCs w:val="24"/>
              </w:rPr>
              <w:t>GFAA</w:t>
            </w:r>
          </w:p>
        </w:tc>
        <w:tc>
          <w:tcPr>
            <w:tcW w:w="1021" w:type="dxa"/>
            <w:shd w:val="clear" w:color="auto" w:fill="auto"/>
            <w:noWrap/>
            <w:vAlign w:val="bottom"/>
            <w:hideMark/>
          </w:tcPr>
          <w:p w:rsidR="00EB0561" w:rsidRPr="00EB0561" w:rsidRDefault="00EB0561" w:rsidP="00EB0561">
            <w:pPr>
              <w:spacing w:after="0"/>
              <w:contextualSpacing w:val="0"/>
              <w:jc w:val="right"/>
              <w:rPr>
                <w:rFonts w:eastAsia="Times New Roman" w:cs="Times New Roman"/>
                <w:szCs w:val="24"/>
              </w:rPr>
            </w:pPr>
            <w:r w:rsidRPr="00EB0561">
              <w:rPr>
                <w:rFonts w:eastAsia="Times New Roman" w:cs="Times New Roman"/>
                <w:szCs w:val="24"/>
              </w:rPr>
              <w:t>90.0</w:t>
            </w:r>
          </w:p>
        </w:tc>
      </w:tr>
      <w:tr w:rsidR="00EB0561" w:rsidRPr="00EB0561" w:rsidTr="00436D1A">
        <w:trPr>
          <w:trHeight w:val="315"/>
        </w:trPr>
        <w:tc>
          <w:tcPr>
            <w:tcW w:w="2482"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r w:rsidRPr="00EB0561">
              <w:rPr>
                <w:rFonts w:eastAsia="Times New Roman" w:cs="Times New Roman"/>
                <w:szCs w:val="24"/>
              </w:rPr>
              <w:t>Standard Labs (Charleston)</w:t>
            </w:r>
          </w:p>
        </w:tc>
        <w:tc>
          <w:tcPr>
            <w:tcW w:w="974"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p>
        </w:tc>
        <w:tc>
          <w:tcPr>
            <w:tcW w:w="1069" w:type="dxa"/>
            <w:shd w:val="clear" w:color="auto" w:fill="auto"/>
            <w:noWrap/>
            <w:vAlign w:val="bottom"/>
            <w:hideMark/>
          </w:tcPr>
          <w:p w:rsidR="00EB0561" w:rsidRPr="00EB0561" w:rsidRDefault="00EB0561" w:rsidP="00EB0561">
            <w:pPr>
              <w:spacing w:after="0"/>
              <w:contextualSpacing w:val="0"/>
              <w:jc w:val="right"/>
              <w:rPr>
                <w:rFonts w:eastAsia="Times New Roman" w:cs="Times New Roman"/>
                <w:szCs w:val="24"/>
              </w:rPr>
            </w:pPr>
            <w:r w:rsidRPr="00EB0561">
              <w:rPr>
                <w:rFonts w:eastAsia="Times New Roman" w:cs="Times New Roman"/>
                <w:szCs w:val="24"/>
              </w:rPr>
              <w:t>5</w:t>
            </w:r>
          </w:p>
        </w:tc>
        <w:tc>
          <w:tcPr>
            <w:tcW w:w="890"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r w:rsidRPr="00EB0561">
              <w:rPr>
                <w:rFonts w:eastAsia="Times New Roman" w:cs="Times New Roman"/>
                <w:szCs w:val="24"/>
              </w:rPr>
              <w:t>µg/L</w:t>
            </w:r>
          </w:p>
        </w:tc>
        <w:tc>
          <w:tcPr>
            <w:tcW w:w="1319" w:type="dxa"/>
            <w:shd w:val="clear" w:color="auto" w:fill="auto"/>
            <w:noWrap/>
            <w:vAlign w:val="bottom"/>
            <w:hideMark/>
          </w:tcPr>
          <w:p w:rsidR="00EB0561" w:rsidRPr="00EB0561" w:rsidRDefault="00EB0561" w:rsidP="00EB0561">
            <w:pPr>
              <w:spacing w:after="0"/>
              <w:contextualSpacing w:val="0"/>
              <w:jc w:val="right"/>
              <w:rPr>
                <w:rFonts w:eastAsia="Times New Roman" w:cs="Times New Roman"/>
                <w:szCs w:val="24"/>
              </w:rPr>
            </w:pPr>
            <w:r w:rsidRPr="00EB0561">
              <w:rPr>
                <w:rFonts w:eastAsia="Times New Roman" w:cs="Times New Roman"/>
                <w:szCs w:val="24"/>
              </w:rPr>
              <w:t>4/21/2008</w:t>
            </w:r>
          </w:p>
        </w:tc>
        <w:tc>
          <w:tcPr>
            <w:tcW w:w="1728" w:type="dxa"/>
            <w:shd w:val="clear" w:color="auto" w:fill="auto"/>
            <w:noWrap/>
            <w:vAlign w:val="bottom"/>
            <w:hideMark/>
          </w:tcPr>
          <w:p w:rsidR="00EB0561" w:rsidRPr="00EB0561" w:rsidRDefault="00436D1A" w:rsidP="00436D1A">
            <w:pPr>
              <w:spacing w:after="0"/>
              <w:contextualSpacing w:val="0"/>
              <w:jc w:val="center"/>
              <w:rPr>
                <w:rFonts w:eastAsia="Times New Roman" w:cs="Times New Roman"/>
                <w:szCs w:val="24"/>
              </w:rPr>
            </w:pPr>
            <w:r>
              <w:rPr>
                <w:rFonts w:eastAsia="Times New Roman" w:cs="Times New Roman"/>
                <w:szCs w:val="24"/>
              </w:rPr>
              <w:t>GFAA</w:t>
            </w:r>
          </w:p>
        </w:tc>
        <w:tc>
          <w:tcPr>
            <w:tcW w:w="1021" w:type="dxa"/>
            <w:shd w:val="clear" w:color="auto" w:fill="auto"/>
            <w:noWrap/>
            <w:vAlign w:val="bottom"/>
            <w:hideMark/>
          </w:tcPr>
          <w:p w:rsidR="00EB0561" w:rsidRPr="00EB0561" w:rsidRDefault="00EB0561" w:rsidP="00EB0561">
            <w:pPr>
              <w:spacing w:after="0"/>
              <w:contextualSpacing w:val="0"/>
              <w:jc w:val="right"/>
              <w:rPr>
                <w:rFonts w:eastAsia="Times New Roman" w:cs="Times New Roman"/>
                <w:szCs w:val="24"/>
              </w:rPr>
            </w:pPr>
            <w:r w:rsidRPr="00EB0561">
              <w:rPr>
                <w:rFonts w:eastAsia="Times New Roman" w:cs="Times New Roman"/>
                <w:szCs w:val="24"/>
              </w:rPr>
              <w:t>100.0</w:t>
            </w:r>
          </w:p>
        </w:tc>
      </w:tr>
      <w:tr w:rsidR="00EB0561" w:rsidRPr="00EB0561" w:rsidTr="00436D1A">
        <w:trPr>
          <w:trHeight w:val="315"/>
        </w:trPr>
        <w:tc>
          <w:tcPr>
            <w:tcW w:w="2482"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r w:rsidRPr="00EB0561">
              <w:rPr>
                <w:rFonts w:eastAsia="Times New Roman" w:cs="Times New Roman"/>
                <w:szCs w:val="24"/>
              </w:rPr>
              <w:t>Acculab</w:t>
            </w:r>
          </w:p>
        </w:tc>
        <w:tc>
          <w:tcPr>
            <w:tcW w:w="974"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r w:rsidRPr="00EB0561">
              <w:rPr>
                <w:rFonts w:eastAsia="Times New Roman" w:cs="Times New Roman"/>
                <w:szCs w:val="24"/>
              </w:rPr>
              <w:t>&lt;2</w:t>
            </w:r>
          </w:p>
        </w:tc>
        <w:tc>
          <w:tcPr>
            <w:tcW w:w="1069" w:type="dxa"/>
            <w:shd w:val="clear" w:color="auto" w:fill="auto"/>
            <w:noWrap/>
            <w:vAlign w:val="bottom"/>
            <w:hideMark/>
          </w:tcPr>
          <w:p w:rsidR="00EB0561" w:rsidRPr="00EB0561" w:rsidRDefault="00EB0561" w:rsidP="00EB0561">
            <w:pPr>
              <w:spacing w:after="0"/>
              <w:contextualSpacing w:val="0"/>
              <w:jc w:val="right"/>
              <w:rPr>
                <w:rFonts w:eastAsia="Times New Roman" w:cs="Times New Roman"/>
                <w:szCs w:val="24"/>
              </w:rPr>
            </w:pPr>
            <w:r w:rsidRPr="00EB0561">
              <w:rPr>
                <w:rFonts w:eastAsia="Times New Roman" w:cs="Times New Roman"/>
                <w:szCs w:val="24"/>
              </w:rPr>
              <w:t>0</w:t>
            </w:r>
          </w:p>
        </w:tc>
        <w:tc>
          <w:tcPr>
            <w:tcW w:w="890"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r w:rsidRPr="00EB0561">
              <w:rPr>
                <w:rFonts w:eastAsia="Times New Roman" w:cs="Times New Roman"/>
                <w:szCs w:val="24"/>
              </w:rPr>
              <w:t>µg/L</w:t>
            </w:r>
          </w:p>
        </w:tc>
        <w:tc>
          <w:tcPr>
            <w:tcW w:w="1319" w:type="dxa"/>
            <w:shd w:val="clear" w:color="auto" w:fill="auto"/>
            <w:noWrap/>
            <w:vAlign w:val="bottom"/>
            <w:hideMark/>
          </w:tcPr>
          <w:p w:rsidR="00EB0561" w:rsidRPr="00EB0561" w:rsidRDefault="00EB0561" w:rsidP="00EB0561">
            <w:pPr>
              <w:spacing w:after="0"/>
              <w:contextualSpacing w:val="0"/>
              <w:jc w:val="right"/>
              <w:rPr>
                <w:rFonts w:eastAsia="Times New Roman" w:cs="Times New Roman"/>
                <w:szCs w:val="24"/>
              </w:rPr>
            </w:pPr>
            <w:r w:rsidRPr="00EB0561">
              <w:rPr>
                <w:rFonts w:eastAsia="Times New Roman" w:cs="Times New Roman"/>
                <w:szCs w:val="24"/>
              </w:rPr>
              <w:t>4/14/2008</w:t>
            </w:r>
          </w:p>
        </w:tc>
        <w:tc>
          <w:tcPr>
            <w:tcW w:w="1728" w:type="dxa"/>
            <w:shd w:val="clear" w:color="auto" w:fill="auto"/>
            <w:noWrap/>
            <w:vAlign w:val="bottom"/>
            <w:hideMark/>
          </w:tcPr>
          <w:p w:rsidR="00EB0561" w:rsidRPr="00EB0561" w:rsidRDefault="00436D1A" w:rsidP="00436D1A">
            <w:pPr>
              <w:spacing w:after="0"/>
              <w:contextualSpacing w:val="0"/>
              <w:jc w:val="center"/>
              <w:rPr>
                <w:rFonts w:eastAsia="Times New Roman" w:cs="Times New Roman"/>
                <w:szCs w:val="24"/>
              </w:rPr>
            </w:pPr>
            <w:r>
              <w:rPr>
                <w:rFonts w:eastAsia="Times New Roman" w:cs="Times New Roman"/>
                <w:szCs w:val="24"/>
              </w:rPr>
              <w:t>GFAA</w:t>
            </w:r>
          </w:p>
        </w:tc>
        <w:tc>
          <w:tcPr>
            <w:tcW w:w="1021" w:type="dxa"/>
            <w:shd w:val="clear" w:color="auto" w:fill="auto"/>
            <w:noWrap/>
            <w:vAlign w:val="bottom"/>
            <w:hideMark/>
          </w:tcPr>
          <w:p w:rsidR="00EB0561" w:rsidRPr="00EB0561" w:rsidRDefault="00EB0561" w:rsidP="00EB0561">
            <w:pPr>
              <w:spacing w:after="0"/>
              <w:contextualSpacing w:val="0"/>
              <w:jc w:val="right"/>
              <w:rPr>
                <w:rFonts w:eastAsia="Times New Roman" w:cs="Times New Roman"/>
                <w:szCs w:val="24"/>
              </w:rPr>
            </w:pPr>
            <w:r w:rsidRPr="00EB0561">
              <w:rPr>
                <w:rFonts w:eastAsia="Times New Roman" w:cs="Times New Roman"/>
                <w:szCs w:val="24"/>
              </w:rPr>
              <w:t>0.0</w:t>
            </w:r>
          </w:p>
        </w:tc>
      </w:tr>
      <w:tr w:rsidR="00EB0561" w:rsidRPr="00EB0561" w:rsidTr="00436D1A">
        <w:trPr>
          <w:trHeight w:val="315"/>
        </w:trPr>
        <w:tc>
          <w:tcPr>
            <w:tcW w:w="2482"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r w:rsidRPr="00EB0561">
              <w:rPr>
                <w:rFonts w:eastAsia="Times New Roman" w:cs="Times New Roman"/>
                <w:szCs w:val="24"/>
              </w:rPr>
              <w:t>Compliance Monitoring</w:t>
            </w:r>
          </w:p>
        </w:tc>
        <w:tc>
          <w:tcPr>
            <w:tcW w:w="974"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p>
        </w:tc>
        <w:tc>
          <w:tcPr>
            <w:tcW w:w="1069" w:type="dxa"/>
            <w:shd w:val="clear" w:color="auto" w:fill="auto"/>
            <w:noWrap/>
            <w:vAlign w:val="bottom"/>
            <w:hideMark/>
          </w:tcPr>
          <w:p w:rsidR="00EB0561" w:rsidRPr="00EB0561" w:rsidRDefault="00EB0561" w:rsidP="00EB0561">
            <w:pPr>
              <w:spacing w:after="0"/>
              <w:contextualSpacing w:val="0"/>
              <w:jc w:val="right"/>
              <w:rPr>
                <w:rFonts w:eastAsia="Times New Roman" w:cs="Times New Roman"/>
                <w:szCs w:val="24"/>
              </w:rPr>
            </w:pPr>
            <w:r w:rsidRPr="00EB0561">
              <w:rPr>
                <w:rFonts w:eastAsia="Times New Roman" w:cs="Times New Roman"/>
                <w:szCs w:val="24"/>
              </w:rPr>
              <w:t>4.42</w:t>
            </w:r>
          </w:p>
        </w:tc>
        <w:tc>
          <w:tcPr>
            <w:tcW w:w="890"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r w:rsidRPr="00EB0561">
              <w:rPr>
                <w:rFonts w:eastAsia="Times New Roman" w:cs="Times New Roman"/>
                <w:szCs w:val="24"/>
              </w:rPr>
              <w:t>µg/L</w:t>
            </w:r>
          </w:p>
        </w:tc>
        <w:tc>
          <w:tcPr>
            <w:tcW w:w="1319" w:type="dxa"/>
            <w:shd w:val="clear" w:color="auto" w:fill="auto"/>
            <w:noWrap/>
            <w:vAlign w:val="bottom"/>
            <w:hideMark/>
          </w:tcPr>
          <w:p w:rsidR="00EB0561" w:rsidRPr="00EB0561" w:rsidRDefault="00EB0561" w:rsidP="00EB0561">
            <w:pPr>
              <w:spacing w:after="0"/>
              <w:contextualSpacing w:val="0"/>
              <w:jc w:val="right"/>
              <w:rPr>
                <w:rFonts w:eastAsia="Times New Roman" w:cs="Times New Roman"/>
                <w:szCs w:val="24"/>
              </w:rPr>
            </w:pPr>
            <w:r w:rsidRPr="00EB0561">
              <w:rPr>
                <w:rFonts w:eastAsia="Times New Roman" w:cs="Times New Roman"/>
                <w:szCs w:val="24"/>
              </w:rPr>
              <w:t>4/22/2008</w:t>
            </w:r>
          </w:p>
        </w:tc>
        <w:tc>
          <w:tcPr>
            <w:tcW w:w="1728" w:type="dxa"/>
            <w:shd w:val="clear" w:color="auto" w:fill="auto"/>
            <w:noWrap/>
            <w:vAlign w:val="bottom"/>
            <w:hideMark/>
          </w:tcPr>
          <w:p w:rsidR="00EB0561" w:rsidRPr="00EB0561" w:rsidRDefault="00436D1A" w:rsidP="00436D1A">
            <w:pPr>
              <w:spacing w:after="0"/>
              <w:contextualSpacing w:val="0"/>
              <w:jc w:val="center"/>
              <w:rPr>
                <w:rFonts w:eastAsia="Times New Roman" w:cs="Times New Roman"/>
                <w:szCs w:val="24"/>
              </w:rPr>
            </w:pPr>
            <w:r>
              <w:rPr>
                <w:rFonts w:eastAsia="Times New Roman" w:cs="Times New Roman"/>
                <w:szCs w:val="24"/>
              </w:rPr>
              <w:t>GFAA</w:t>
            </w:r>
          </w:p>
        </w:tc>
        <w:tc>
          <w:tcPr>
            <w:tcW w:w="1021" w:type="dxa"/>
            <w:shd w:val="clear" w:color="auto" w:fill="auto"/>
            <w:noWrap/>
            <w:vAlign w:val="bottom"/>
            <w:hideMark/>
          </w:tcPr>
          <w:p w:rsidR="00EB0561" w:rsidRPr="00EB0561" w:rsidRDefault="00EB0561" w:rsidP="00EB0561">
            <w:pPr>
              <w:spacing w:after="0"/>
              <w:contextualSpacing w:val="0"/>
              <w:jc w:val="right"/>
              <w:rPr>
                <w:rFonts w:eastAsia="Times New Roman" w:cs="Times New Roman"/>
                <w:szCs w:val="24"/>
              </w:rPr>
            </w:pPr>
            <w:r w:rsidRPr="00EB0561">
              <w:rPr>
                <w:rFonts w:eastAsia="Times New Roman" w:cs="Times New Roman"/>
                <w:szCs w:val="24"/>
              </w:rPr>
              <w:t>88.4</w:t>
            </w:r>
          </w:p>
        </w:tc>
      </w:tr>
      <w:tr w:rsidR="00EB0561" w:rsidRPr="00EB0561" w:rsidTr="00436D1A">
        <w:trPr>
          <w:trHeight w:val="315"/>
        </w:trPr>
        <w:tc>
          <w:tcPr>
            <w:tcW w:w="2482"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r w:rsidRPr="00EB0561">
              <w:rPr>
                <w:rFonts w:eastAsia="Times New Roman" w:cs="Times New Roman"/>
                <w:szCs w:val="24"/>
              </w:rPr>
              <w:t>SGS</w:t>
            </w:r>
          </w:p>
        </w:tc>
        <w:tc>
          <w:tcPr>
            <w:tcW w:w="974"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p>
        </w:tc>
        <w:tc>
          <w:tcPr>
            <w:tcW w:w="1069" w:type="dxa"/>
            <w:shd w:val="clear" w:color="auto" w:fill="auto"/>
            <w:noWrap/>
            <w:vAlign w:val="bottom"/>
            <w:hideMark/>
          </w:tcPr>
          <w:p w:rsidR="00EB0561" w:rsidRPr="00EB0561" w:rsidRDefault="00EB0561" w:rsidP="00EB0561">
            <w:pPr>
              <w:spacing w:after="0"/>
              <w:contextualSpacing w:val="0"/>
              <w:jc w:val="right"/>
              <w:rPr>
                <w:rFonts w:eastAsia="Times New Roman" w:cs="Times New Roman"/>
                <w:szCs w:val="24"/>
              </w:rPr>
            </w:pPr>
            <w:r w:rsidRPr="00EB0561">
              <w:rPr>
                <w:rFonts w:eastAsia="Times New Roman" w:cs="Times New Roman"/>
                <w:szCs w:val="24"/>
              </w:rPr>
              <w:t>5</w:t>
            </w:r>
          </w:p>
        </w:tc>
        <w:tc>
          <w:tcPr>
            <w:tcW w:w="890"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r w:rsidRPr="00EB0561">
              <w:rPr>
                <w:rFonts w:eastAsia="Times New Roman" w:cs="Times New Roman"/>
                <w:szCs w:val="24"/>
              </w:rPr>
              <w:t>µg/L</w:t>
            </w:r>
          </w:p>
        </w:tc>
        <w:tc>
          <w:tcPr>
            <w:tcW w:w="1319" w:type="dxa"/>
            <w:shd w:val="clear" w:color="auto" w:fill="auto"/>
            <w:noWrap/>
            <w:vAlign w:val="bottom"/>
            <w:hideMark/>
          </w:tcPr>
          <w:p w:rsidR="00EB0561" w:rsidRPr="00EB0561" w:rsidRDefault="00EB0561" w:rsidP="00EB0561">
            <w:pPr>
              <w:spacing w:after="0"/>
              <w:contextualSpacing w:val="0"/>
              <w:jc w:val="right"/>
              <w:rPr>
                <w:rFonts w:eastAsia="Times New Roman" w:cs="Times New Roman"/>
                <w:szCs w:val="24"/>
              </w:rPr>
            </w:pPr>
            <w:r w:rsidRPr="00EB0561">
              <w:rPr>
                <w:rFonts w:eastAsia="Times New Roman" w:cs="Times New Roman"/>
                <w:szCs w:val="24"/>
              </w:rPr>
              <w:t>4/17/2008</w:t>
            </w:r>
          </w:p>
        </w:tc>
        <w:tc>
          <w:tcPr>
            <w:tcW w:w="1728" w:type="dxa"/>
            <w:shd w:val="clear" w:color="auto" w:fill="auto"/>
            <w:noWrap/>
            <w:vAlign w:val="bottom"/>
            <w:hideMark/>
          </w:tcPr>
          <w:p w:rsidR="00EB0561" w:rsidRPr="00EB0561" w:rsidRDefault="00436D1A" w:rsidP="00436D1A">
            <w:pPr>
              <w:spacing w:after="0"/>
              <w:contextualSpacing w:val="0"/>
              <w:jc w:val="center"/>
              <w:rPr>
                <w:rFonts w:eastAsia="Times New Roman" w:cs="Times New Roman"/>
                <w:szCs w:val="24"/>
              </w:rPr>
            </w:pPr>
            <w:r>
              <w:rPr>
                <w:rFonts w:eastAsia="Times New Roman" w:cs="Times New Roman"/>
                <w:szCs w:val="24"/>
              </w:rPr>
              <w:t>GFAA</w:t>
            </w:r>
          </w:p>
        </w:tc>
        <w:tc>
          <w:tcPr>
            <w:tcW w:w="1021" w:type="dxa"/>
            <w:shd w:val="clear" w:color="auto" w:fill="auto"/>
            <w:noWrap/>
            <w:vAlign w:val="bottom"/>
            <w:hideMark/>
          </w:tcPr>
          <w:p w:rsidR="00EB0561" w:rsidRPr="00EB0561" w:rsidRDefault="00EB0561" w:rsidP="00EB0561">
            <w:pPr>
              <w:spacing w:after="0"/>
              <w:contextualSpacing w:val="0"/>
              <w:jc w:val="right"/>
              <w:rPr>
                <w:rFonts w:eastAsia="Times New Roman" w:cs="Times New Roman"/>
                <w:szCs w:val="24"/>
              </w:rPr>
            </w:pPr>
            <w:r w:rsidRPr="00EB0561">
              <w:rPr>
                <w:rFonts w:eastAsia="Times New Roman" w:cs="Times New Roman"/>
                <w:szCs w:val="24"/>
              </w:rPr>
              <w:t>100.0</w:t>
            </w:r>
          </w:p>
        </w:tc>
      </w:tr>
      <w:tr w:rsidR="00EB0561" w:rsidRPr="00EB0561" w:rsidTr="00436D1A">
        <w:trPr>
          <w:trHeight w:val="315"/>
        </w:trPr>
        <w:tc>
          <w:tcPr>
            <w:tcW w:w="2482"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r w:rsidRPr="00EB0561">
              <w:rPr>
                <w:rFonts w:eastAsia="Times New Roman" w:cs="Times New Roman"/>
                <w:szCs w:val="24"/>
              </w:rPr>
              <w:t>American Elec. Power</w:t>
            </w:r>
          </w:p>
        </w:tc>
        <w:tc>
          <w:tcPr>
            <w:tcW w:w="974"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p>
        </w:tc>
        <w:tc>
          <w:tcPr>
            <w:tcW w:w="1069" w:type="dxa"/>
            <w:shd w:val="clear" w:color="auto" w:fill="auto"/>
            <w:noWrap/>
            <w:vAlign w:val="bottom"/>
            <w:hideMark/>
          </w:tcPr>
          <w:p w:rsidR="00EB0561" w:rsidRPr="00EB0561" w:rsidRDefault="00EB0561" w:rsidP="00EB0561">
            <w:pPr>
              <w:spacing w:after="0"/>
              <w:contextualSpacing w:val="0"/>
              <w:jc w:val="right"/>
              <w:rPr>
                <w:rFonts w:eastAsia="Times New Roman" w:cs="Times New Roman"/>
                <w:szCs w:val="24"/>
              </w:rPr>
            </w:pPr>
            <w:r w:rsidRPr="00EB0561">
              <w:rPr>
                <w:rFonts w:eastAsia="Times New Roman" w:cs="Times New Roman"/>
                <w:szCs w:val="24"/>
              </w:rPr>
              <w:t>4.4</w:t>
            </w:r>
          </w:p>
        </w:tc>
        <w:tc>
          <w:tcPr>
            <w:tcW w:w="890"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r w:rsidRPr="00EB0561">
              <w:rPr>
                <w:rFonts w:eastAsia="Times New Roman" w:cs="Times New Roman"/>
                <w:szCs w:val="24"/>
              </w:rPr>
              <w:t>µg/L</w:t>
            </w:r>
          </w:p>
        </w:tc>
        <w:tc>
          <w:tcPr>
            <w:tcW w:w="1319" w:type="dxa"/>
            <w:shd w:val="clear" w:color="auto" w:fill="auto"/>
            <w:noWrap/>
            <w:vAlign w:val="bottom"/>
            <w:hideMark/>
          </w:tcPr>
          <w:p w:rsidR="00EB0561" w:rsidRPr="00EB0561" w:rsidRDefault="00EB0561" w:rsidP="00EB0561">
            <w:pPr>
              <w:spacing w:after="0"/>
              <w:contextualSpacing w:val="0"/>
              <w:jc w:val="right"/>
              <w:rPr>
                <w:rFonts w:eastAsia="Times New Roman" w:cs="Times New Roman"/>
                <w:szCs w:val="24"/>
              </w:rPr>
            </w:pPr>
            <w:r w:rsidRPr="00EB0561">
              <w:rPr>
                <w:rFonts w:eastAsia="Times New Roman" w:cs="Times New Roman"/>
                <w:szCs w:val="24"/>
              </w:rPr>
              <w:t>5/12/2008</w:t>
            </w:r>
          </w:p>
        </w:tc>
        <w:tc>
          <w:tcPr>
            <w:tcW w:w="1728" w:type="dxa"/>
            <w:shd w:val="clear" w:color="auto" w:fill="auto"/>
            <w:noWrap/>
            <w:vAlign w:val="bottom"/>
            <w:hideMark/>
          </w:tcPr>
          <w:p w:rsidR="00EB0561" w:rsidRPr="00EB0561" w:rsidRDefault="00436D1A" w:rsidP="00436D1A">
            <w:pPr>
              <w:spacing w:after="0"/>
              <w:contextualSpacing w:val="0"/>
              <w:jc w:val="center"/>
              <w:rPr>
                <w:rFonts w:eastAsia="Times New Roman" w:cs="Times New Roman"/>
                <w:szCs w:val="24"/>
              </w:rPr>
            </w:pPr>
            <w:r>
              <w:rPr>
                <w:rFonts w:eastAsia="Times New Roman" w:cs="Times New Roman"/>
                <w:szCs w:val="24"/>
              </w:rPr>
              <w:t>ICP-MS</w:t>
            </w:r>
          </w:p>
        </w:tc>
        <w:tc>
          <w:tcPr>
            <w:tcW w:w="1021" w:type="dxa"/>
            <w:shd w:val="clear" w:color="auto" w:fill="auto"/>
            <w:noWrap/>
            <w:vAlign w:val="bottom"/>
            <w:hideMark/>
          </w:tcPr>
          <w:p w:rsidR="00EB0561" w:rsidRPr="00EB0561" w:rsidRDefault="00EB0561" w:rsidP="00EB0561">
            <w:pPr>
              <w:spacing w:after="0"/>
              <w:contextualSpacing w:val="0"/>
              <w:jc w:val="right"/>
              <w:rPr>
                <w:rFonts w:eastAsia="Times New Roman" w:cs="Times New Roman"/>
                <w:szCs w:val="24"/>
              </w:rPr>
            </w:pPr>
            <w:r w:rsidRPr="00EB0561">
              <w:rPr>
                <w:rFonts w:eastAsia="Times New Roman" w:cs="Times New Roman"/>
                <w:szCs w:val="24"/>
              </w:rPr>
              <w:t>88.0</w:t>
            </w:r>
          </w:p>
        </w:tc>
      </w:tr>
      <w:tr w:rsidR="00EB0561" w:rsidRPr="00EB0561" w:rsidTr="00436D1A">
        <w:trPr>
          <w:trHeight w:val="315"/>
        </w:trPr>
        <w:tc>
          <w:tcPr>
            <w:tcW w:w="2482"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r w:rsidRPr="00EB0561">
              <w:rPr>
                <w:rFonts w:eastAsia="Times New Roman" w:cs="Times New Roman"/>
                <w:szCs w:val="24"/>
              </w:rPr>
              <w:t>Analabs</w:t>
            </w:r>
          </w:p>
        </w:tc>
        <w:tc>
          <w:tcPr>
            <w:tcW w:w="974"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r w:rsidRPr="00EB0561">
              <w:rPr>
                <w:rFonts w:eastAsia="Times New Roman" w:cs="Times New Roman"/>
                <w:szCs w:val="24"/>
              </w:rPr>
              <w:t>&lt;0.359</w:t>
            </w:r>
          </w:p>
        </w:tc>
        <w:tc>
          <w:tcPr>
            <w:tcW w:w="1069" w:type="dxa"/>
            <w:shd w:val="clear" w:color="auto" w:fill="auto"/>
            <w:noWrap/>
            <w:vAlign w:val="bottom"/>
            <w:hideMark/>
          </w:tcPr>
          <w:p w:rsidR="00EB0561" w:rsidRPr="00EB0561" w:rsidRDefault="00EB0561" w:rsidP="00EB0561">
            <w:pPr>
              <w:spacing w:after="0"/>
              <w:contextualSpacing w:val="0"/>
              <w:jc w:val="right"/>
              <w:rPr>
                <w:rFonts w:eastAsia="Times New Roman" w:cs="Times New Roman"/>
                <w:szCs w:val="24"/>
              </w:rPr>
            </w:pPr>
            <w:r w:rsidRPr="00EB0561">
              <w:rPr>
                <w:rFonts w:eastAsia="Times New Roman" w:cs="Times New Roman"/>
                <w:szCs w:val="24"/>
              </w:rPr>
              <w:t>0</w:t>
            </w:r>
          </w:p>
        </w:tc>
        <w:tc>
          <w:tcPr>
            <w:tcW w:w="890"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r w:rsidRPr="00EB0561">
              <w:rPr>
                <w:rFonts w:eastAsia="Times New Roman" w:cs="Times New Roman"/>
                <w:szCs w:val="24"/>
              </w:rPr>
              <w:t>µg/L</w:t>
            </w:r>
          </w:p>
        </w:tc>
        <w:tc>
          <w:tcPr>
            <w:tcW w:w="1319" w:type="dxa"/>
            <w:shd w:val="clear" w:color="auto" w:fill="auto"/>
            <w:noWrap/>
            <w:vAlign w:val="bottom"/>
            <w:hideMark/>
          </w:tcPr>
          <w:p w:rsidR="00EB0561" w:rsidRPr="00EB0561" w:rsidRDefault="00EB0561" w:rsidP="00EB0561">
            <w:pPr>
              <w:spacing w:after="0"/>
              <w:contextualSpacing w:val="0"/>
              <w:jc w:val="right"/>
              <w:rPr>
                <w:rFonts w:eastAsia="Times New Roman" w:cs="Times New Roman"/>
                <w:szCs w:val="24"/>
              </w:rPr>
            </w:pPr>
            <w:r w:rsidRPr="00EB0561">
              <w:rPr>
                <w:rFonts w:eastAsia="Times New Roman" w:cs="Times New Roman"/>
                <w:szCs w:val="24"/>
              </w:rPr>
              <w:t>4/26/2008</w:t>
            </w:r>
          </w:p>
        </w:tc>
        <w:tc>
          <w:tcPr>
            <w:tcW w:w="1728" w:type="dxa"/>
            <w:shd w:val="clear" w:color="auto" w:fill="auto"/>
            <w:noWrap/>
            <w:vAlign w:val="bottom"/>
            <w:hideMark/>
          </w:tcPr>
          <w:p w:rsidR="00EB0561" w:rsidRPr="00EB0561" w:rsidRDefault="00436D1A" w:rsidP="00436D1A">
            <w:pPr>
              <w:spacing w:after="0"/>
              <w:contextualSpacing w:val="0"/>
              <w:jc w:val="center"/>
              <w:rPr>
                <w:rFonts w:eastAsia="Times New Roman" w:cs="Times New Roman"/>
                <w:szCs w:val="24"/>
              </w:rPr>
            </w:pPr>
            <w:r>
              <w:rPr>
                <w:rFonts w:eastAsia="Times New Roman" w:cs="Times New Roman"/>
                <w:szCs w:val="24"/>
              </w:rPr>
              <w:t>ICP-MS</w:t>
            </w:r>
          </w:p>
        </w:tc>
        <w:tc>
          <w:tcPr>
            <w:tcW w:w="1021" w:type="dxa"/>
            <w:shd w:val="clear" w:color="auto" w:fill="auto"/>
            <w:noWrap/>
            <w:vAlign w:val="bottom"/>
            <w:hideMark/>
          </w:tcPr>
          <w:p w:rsidR="00EB0561" w:rsidRPr="00EB0561" w:rsidRDefault="00EB0561" w:rsidP="00EB0561">
            <w:pPr>
              <w:spacing w:after="0"/>
              <w:contextualSpacing w:val="0"/>
              <w:jc w:val="right"/>
              <w:rPr>
                <w:rFonts w:eastAsia="Times New Roman" w:cs="Times New Roman"/>
                <w:szCs w:val="24"/>
              </w:rPr>
            </w:pPr>
            <w:r w:rsidRPr="00EB0561">
              <w:rPr>
                <w:rFonts w:eastAsia="Times New Roman" w:cs="Times New Roman"/>
                <w:szCs w:val="24"/>
              </w:rPr>
              <w:t>0.0</w:t>
            </w:r>
          </w:p>
        </w:tc>
      </w:tr>
      <w:tr w:rsidR="00EB0561" w:rsidRPr="00EB0561" w:rsidTr="00436D1A">
        <w:trPr>
          <w:trHeight w:val="315"/>
        </w:trPr>
        <w:tc>
          <w:tcPr>
            <w:tcW w:w="2482"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r w:rsidRPr="00EB0561">
              <w:rPr>
                <w:rFonts w:eastAsia="Times New Roman" w:cs="Times New Roman"/>
                <w:szCs w:val="24"/>
              </w:rPr>
              <w:t>Tra-Det</w:t>
            </w:r>
          </w:p>
        </w:tc>
        <w:tc>
          <w:tcPr>
            <w:tcW w:w="974"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p>
        </w:tc>
        <w:tc>
          <w:tcPr>
            <w:tcW w:w="1069" w:type="dxa"/>
            <w:shd w:val="clear" w:color="auto" w:fill="auto"/>
            <w:noWrap/>
            <w:vAlign w:val="bottom"/>
            <w:hideMark/>
          </w:tcPr>
          <w:p w:rsidR="00EB0561" w:rsidRPr="00EB0561" w:rsidRDefault="00EB0561" w:rsidP="00EB0561">
            <w:pPr>
              <w:spacing w:after="0"/>
              <w:contextualSpacing w:val="0"/>
              <w:jc w:val="right"/>
              <w:rPr>
                <w:rFonts w:eastAsia="Times New Roman" w:cs="Times New Roman"/>
                <w:szCs w:val="24"/>
              </w:rPr>
            </w:pPr>
            <w:r w:rsidRPr="00EB0561">
              <w:rPr>
                <w:rFonts w:eastAsia="Times New Roman" w:cs="Times New Roman"/>
                <w:szCs w:val="24"/>
              </w:rPr>
              <w:t>4</w:t>
            </w:r>
          </w:p>
        </w:tc>
        <w:tc>
          <w:tcPr>
            <w:tcW w:w="890"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r w:rsidRPr="00EB0561">
              <w:rPr>
                <w:rFonts w:eastAsia="Times New Roman" w:cs="Times New Roman"/>
                <w:szCs w:val="24"/>
              </w:rPr>
              <w:t>µg/L</w:t>
            </w:r>
          </w:p>
        </w:tc>
        <w:tc>
          <w:tcPr>
            <w:tcW w:w="1319" w:type="dxa"/>
            <w:shd w:val="clear" w:color="auto" w:fill="auto"/>
            <w:noWrap/>
            <w:vAlign w:val="bottom"/>
            <w:hideMark/>
          </w:tcPr>
          <w:p w:rsidR="00EB0561" w:rsidRPr="00EB0561" w:rsidRDefault="00EB0561" w:rsidP="00EB0561">
            <w:pPr>
              <w:spacing w:after="0"/>
              <w:contextualSpacing w:val="0"/>
              <w:jc w:val="right"/>
              <w:rPr>
                <w:rFonts w:eastAsia="Times New Roman" w:cs="Times New Roman"/>
                <w:szCs w:val="24"/>
              </w:rPr>
            </w:pPr>
            <w:r w:rsidRPr="00EB0561">
              <w:rPr>
                <w:rFonts w:eastAsia="Times New Roman" w:cs="Times New Roman"/>
                <w:szCs w:val="24"/>
              </w:rPr>
              <w:t>4/29/2008</w:t>
            </w:r>
          </w:p>
        </w:tc>
        <w:tc>
          <w:tcPr>
            <w:tcW w:w="1728" w:type="dxa"/>
            <w:shd w:val="clear" w:color="auto" w:fill="auto"/>
            <w:noWrap/>
            <w:vAlign w:val="bottom"/>
            <w:hideMark/>
          </w:tcPr>
          <w:p w:rsidR="00EB0561" w:rsidRPr="00EB0561" w:rsidRDefault="00436D1A" w:rsidP="00436D1A">
            <w:pPr>
              <w:spacing w:after="0"/>
              <w:contextualSpacing w:val="0"/>
              <w:jc w:val="center"/>
              <w:rPr>
                <w:rFonts w:eastAsia="Times New Roman" w:cs="Times New Roman"/>
                <w:szCs w:val="24"/>
              </w:rPr>
            </w:pPr>
            <w:r>
              <w:rPr>
                <w:rFonts w:eastAsia="Times New Roman" w:cs="Times New Roman"/>
                <w:szCs w:val="24"/>
              </w:rPr>
              <w:t>GH-AA</w:t>
            </w:r>
          </w:p>
        </w:tc>
        <w:tc>
          <w:tcPr>
            <w:tcW w:w="1021" w:type="dxa"/>
            <w:shd w:val="clear" w:color="auto" w:fill="auto"/>
            <w:noWrap/>
            <w:vAlign w:val="bottom"/>
            <w:hideMark/>
          </w:tcPr>
          <w:p w:rsidR="00EB0561" w:rsidRPr="00EB0561" w:rsidRDefault="00EB0561" w:rsidP="00EB0561">
            <w:pPr>
              <w:spacing w:after="0"/>
              <w:contextualSpacing w:val="0"/>
              <w:jc w:val="right"/>
              <w:rPr>
                <w:rFonts w:eastAsia="Times New Roman" w:cs="Times New Roman"/>
                <w:szCs w:val="24"/>
              </w:rPr>
            </w:pPr>
            <w:r w:rsidRPr="00EB0561">
              <w:rPr>
                <w:rFonts w:eastAsia="Times New Roman" w:cs="Times New Roman"/>
                <w:szCs w:val="24"/>
              </w:rPr>
              <w:t>80.0</w:t>
            </w:r>
          </w:p>
        </w:tc>
      </w:tr>
      <w:tr w:rsidR="00EB0561" w:rsidRPr="00EB0561" w:rsidTr="00436D1A">
        <w:trPr>
          <w:trHeight w:val="315"/>
        </w:trPr>
        <w:tc>
          <w:tcPr>
            <w:tcW w:w="2482"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p>
        </w:tc>
        <w:tc>
          <w:tcPr>
            <w:tcW w:w="974"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p>
        </w:tc>
        <w:tc>
          <w:tcPr>
            <w:tcW w:w="1069"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p>
        </w:tc>
        <w:tc>
          <w:tcPr>
            <w:tcW w:w="890"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p>
        </w:tc>
        <w:tc>
          <w:tcPr>
            <w:tcW w:w="1319"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p>
        </w:tc>
        <w:tc>
          <w:tcPr>
            <w:tcW w:w="1728"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p>
        </w:tc>
        <w:tc>
          <w:tcPr>
            <w:tcW w:w="1021"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p>
        </w:tc>
      </w:tr>
      <w:tr w:rsidR="00EB0561" w:rsidRPr="00EB0561" w:rsidTr="00436D1A">
        <w:trPr>
          <w:trHeight w:val="315"/>
        </w:trPr>
        <w:tc>
          <w:tcPr>
            <w:tcW w:w="2482"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r w:rsidRPr="00EB0561">
              <w:rPr>
                <w:rFonts w:eastAsia="Times New Roman" w:cs="Times New Roman"/>
                <w:szCs w:val="24"/>
              </w:rPr>
              <w:t>Average, All data</w:t>
            </w:r>
          </w:p>
        </w:tc>
        <w:tc>
          <w:tcPr>
            <w:tcW w:w="974"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p>
        </w:tc>
        <w:tc>
          <w:tcPr>
            <w:tcW w:w="1069" w:type="dxa"/>
            <w:shd w:val="clear" w:color="auto" w:fill="auto"/>
            <w:noWrap/>
            <w:vAlign w:val="bottom"/>
            <w:hideMark/>
          </w:tcPr>
          <w:p w:rsidR="00EB0561" w:rsidRPr="00EB0561" w:rsidRDefault="00EB0561" w:rsidP="00EB0561">
            <w:pPr>
              <w:spacing w:after="0"/>
              <w:contextualSpacing w:val="0"/>
              <w:jc w:val="right"/>
              <w:rPr>
                <w:rFonts w:eastAsia="Times New Roman" w:cs="Times New Roman"/>
                <w:szCs w:val="24"/>
              </w:rPr>
            </w:pPr>
            <w:r w:rsidRPr="00EB0561">
              <w:rPr>
                <w:rFonts w:eastAsia="Times New Roman" w:cs="Times New Roman"/>
                <w:szCs w:val="24"/>
              </w:rPr>
              <w:t>3.7</w:t>
            </w:r>
          </w:p>
        </w:tc>
        <w:tc>
          <w:tcPr>
            <w:tcW w:w="890"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r w:rsidRPr="00EB0561">
              <w:rPr>
                <w:rFonts w:eastAsia="Times New Roman" w:cs="Times New Roman"/>
                <w:szCs w:val="24"/>
              </w:rPr>
              <w:t>µg/L</w:t>
            </w:r>
          </w:p>
        </w:tc>
        <w:tc>
          <w:tcPr>
            <w:tcW w:w="1319"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p>
        </w:tc>
        <w:tc>
          <w:tcPr>
            <w:tcW w:w="1728"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p>
        </w:tc>
        <w:tc>
          <w:tcPr>
            <w:tcW w:w="1021" w:type="dxa"/>
            <w:shd w:val="clear" w:color="auto" w:fill="auto"/>
            <w:noWrap/>
            <w:vAlign w:val="bottom"/>
            <w:hideMark/>
          </w:tcPr>
          <w:p w:rsidR="00EB0561" w:rsidRPr="00EB0561" w:rsidRDefault="00EB0561" w:rsidP="00EB0561">
            <w:pPr>
              <w:spacing w:after="0"/>
              <w:contextualSpacing w:val="0"/>
              <w:jc w:val="right"/>
              <w:rPr>
                <w:rFonts w:eastAsia="Times New Roman" w:cs="Times New Roman"/>
                <w:szCs w:val="24"/>
              </w:rPr>
            </w:pPr>
            <w:r w:rsidRPr="00EB0561">
              <w:rPr>
                <w:rFonts w:eastAsia="Times New Roman" w:cs="Times New Roman"/>
                <w:szCs w:val="24"/>
              </w:rPr>
              <w:t>73.9</w:t>
            </w:r>
          </w:p>
        </w:tc>
      </w:tr>
      <w:tr w:rsidR="00EB0561" w:rsidRPr="00EB0561" w:rsidTr="00436D1A">
        <w:trPr>
          <w:trHeight w:val="315"/>
        </w:trPr>
        <w:tc>
          <w:tcPr>
            <w:tcW w:w="2482"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r w:rsidRPr="00EB0561">
              <w:rPr>
                <w:rFonts w:eastAsia="Times New Roman" w:cs="Times New Roman"/>
                <w:szCs w:val="24"/>
              </w:rPr>
              <w:t>Average, GFAA</w:t>
            </w:r>
          </w:p>
        </w:tc>
        <w:tc>
          <w:tcPr>
            <w:tcW w:w="974"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p>
        </w:tc>
        <w:tc>
          <w:tcPr>
            <w:tcW w:w="1069" w:type="dxa"/>
            <w:shd w:val="clear" w:color="auto" w:fill="auto"/>
            <w:noWrap/>
            <w:vAlign w:val="bottom"/>
            <w:hideMark/>
          </w:tcPr>
          <w:p w:rsidR="00EB0561" w:rsidRPr="00EB0561" w:rsidRDefault="00EB0561" w:rsidP="00EB0561">
            <w:pPr>
              <w:spacing w:after="0"/>
              <w:contextualSpacing w:val="0"/>
              <w:jc w:val="right"/>
              <w:rPr>
                <w:rFonts w:eastAsia="Times New Roman" w:cs="Times New Roman"/>
                <w:szCs w:val="24"/>
              </w:rPr>
            </w:pPr>
            <w:r w:rsidRPr="00EB0561">
              <w:rPr>
                <w:rFonts w:eastAsia="Times New Roman" w:cs="Times New Roman"/>
                <w:szCs w:val="24"/>
              </w:rPr>
              <w:t>4.0</w:t>
            </w:r>
          </w:p>
        </w:tc>
        <w:tc>
          <w:tcPr>
            <w:tcW w:w="890"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r w:rsidRPr="00EB0561">
              <w:rPr>
                <w:rFonts w:eastAsia="Times New Roman" w:cs="Times New Roman"/>
                <w:szCs w:val="24"/>
              </w:rPr>
              <w:t>µg/L</w:t>
            </w:r>
          </w:p>
        </w:tc>
        <w:tc>
          <w:tcPr>
            <w:tcW w:w="1319"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p>
        </w:tc>
        <w:tc>
          <w:tcPr>
            <w:tcW w:w="1728"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p>
        </w:tc>
        <w:tc>
          <w:tcPr>
            <w:tcW w:w="1021" w:type="dxa"/>
            <w:shd w:val="clear" w:color="auto" w:fill="auto"/>
            <w:noWrap/>
            <w:vAlign w:val="bottom"/>
            <w:hideMark/>
          </w:tcPr>
          <w:p w:rsidR="00EB0561" w:rsidRPr="00EB0561" w:rsidRDefault="00EB0561" w:rsidP="00EB0561">
            <w:pPr>
              <w:spacing w:after="0"/>
              <w:contextualSpacing w:val="0"/>
              <w:jc w:val="right"/>
              <w:rPr>
                <w:rFonts w:eastAsia="Times New Roman" w:cs="Times New Roman"/>
                <w:szCs w:val="24"/>
              </w:rPr>
            </w:pPr>
            <w:r w:rsidRPr="00EB0561">
              <w:rPr>
                <w:rFonts w:eastAsia="Times New Roman" w:cs="Times New Roman"/>
                <w:szCs w:val="24"/>
              </w:rPr>
              <w:t>80.5</w:t>
            </w:r>
          </w:p>
        </w:tc>
      </w:tr>
      <w:tr w:rsidR="00EB0561" w:rsidRPr="00EB0561" w:rsidTr="00436D1A">
        <w:trPr>
          <w:trHeight w:val="315"/>
        </w:trPr>
        <w:tc>
          <w:tcPr>
            <w:tcW w:w="2482"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r w:rsidRPr="00EB0561">
              <w:rPr>
                <w:rFonts w:eastAsia="Times New Roman" w:cs="Times New Roman"/>
                <w:szCs w:val="24"/>
              </w:rPr>
              <w:t>Average ICP/MS</w:t>
            </w:r>
          </w:p>
        </w:tc>
        <w:tc>
          <w:tcPr>
            <w:tcW w:w="974"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p>
        </w:tc>
        <w:tc>
          <w:tcPr>
            <w:tcW w:w="1069" w:type="dxa"/>
            <w:shd w:val="clear" w:color="auto" w:fill="auto"/>
            <w:noWrap/>
            <w:vAlign w:val="bottom"/>
            <w:hideMark/>
          </w:tcPr>
          <w:p w:rsidR="00EB0561" w:rsidRPr="00EB0561" w:rsidRDefault="00EB0561" w:rsidP="00EB0561">
            <w:pPr>
              <w:spacing w:after="0"/>
              <w:contextualSpacing w:val="0"/>
              <w:jc w:val="right"/>
              <w:rPr>
                <w:rFonts w:eastAsia="Times New Roman" w:cs="Times New Roman"/>
                <w:szCs w:val="24"/>
              </w:rPr>
            </w:pPr>
            <w:r w:rsidRPr="00EB0561">
              <w:rPr>
                <w:rFonts w:eastAsia="Times New Roman" w:cs="Times New Roman"/>
                <w:szCs w:val="24"/>
              </w:rPr>
              <w:t>2.2</w:t>
            </w:r>
          </w:p>
        </w:tc>
        <w:tc>
          <w:tcPr>
            <w:tcW w:w="890"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r w:rsidRPr="00EB0561">
              <w:rPr>
                <w:rFonts w:eastAsia="Times New Roman" w:cs="Times New Roman"/>
                <w:szCs w:val="24"/>
              </w:rPr>
              <w:t>µg/L</w:t>
            </w:r>
          </w:p>
        </w:tc>
        <w:tc>
          <w:tcPr>
            <w:tcW w:w="1319"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p>
        </w:tc>
        <w:tc>
          <w:tcPr>
            <w:tcW w:w="1728"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p>
        </w:tc>
        <w:tc>
          <w:tcPr>
            <w:tcW w:w="1021" w:type="dxa"/>
            <w:shd w:val="clear" w:color="auto" w:fill="auto"/>
            <w:noWrap/>
            <w:vAlign w:val="bottom"/>
            <w:hideMark/>
          </w:tcPr>
          <w:p w:rsidR="00EB0561" w:rsidRPr="00EB0561" w:rsidRDefault="00EB0561" w:rsidP="00EB0561">
            <w:pPr>
              <w:spacing w:after="0"/>
              <w:contextualSpacing w:val="0"/>
              <w:jc w:val="right"/>
              <w:rPr>
                <w:rFonts w:eastAsia="Times New Roman" w:cs="Times New Roman"/>
                <w:szCs w:val="24"/>
              </w:rPr>
            </w:pPr>
            <w:r w:rsidRPr="00EB0561">
              <w:rPr>
                <w:rFonts w:eastAsia="Times New Roman" w:cs="Times New Roman"/>
                <w:szCs w:val="24"/>
              </w:rPr>
              <w:t>44.0</w:t>
            </w:r>
          </w:p>
        </w:tc>
      </w:tr>
      <w:tr w:rsidR="00EB0561" w:rsidRPr="00EB0561" w:rsidTr="00436D1A">
        <w:trPr>
          <w:trHeight w:val="315"/>
        </w:trPr>
        <w:tc>
          <w:tcPr>
            <w:tcW w:w="2482"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r w:rsidRPr="00EB0561">
              <w:rPr>
                <w:rFonts w:eastAsia="Times New Roman" w:cs="Times New Roman"/>
                <w:szCs w:val="24"/>
              </w:rPr>
              <w:t>Average Hydride</w:t>
            </w:r>
          </w:p>
        </w:tc>
        <w:tc>
          <w:tcPr>
            <w:tcW w:w="974"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p>
        </w:tc>
        <w:tc>
          <w:tcPr>
            <w:tcW w:w="1069" w:type="dxa"/>
            <w:shd w:val="clear" w:color="auto" w:fill="auto"/>
            <w:noWrap/>
            <w:vAlign w:val="bottom"/>
            <w:hideMark/>
          </w:tcPr>
          <w:p w:rsidR="00EB0561" w:rsidRPr="00EB0561" w:rsidRDefault="00EB0561" w:rsidP="00EB0561">
            <w:pPr>
              <w:spacing w:after="0"/>
              <w:contextualSpacing w:val="0"/>
              <w:jc w:val="right"/>
              <w:rPr>
                <w:rFonts w:eastAsia="Times New Roman" w:cs="Times New Roman"/>
                <w:szCs w:val="24"/>
              </w:rPr>
            </w:pPr>
            <w:r w:rsidRPr="00EB0561">
              <w:rPr>
                <w:rFonts w:eastAsia="Times New Roman" w:cs="Times New Roman"/>
                <w:szCs w:val="24"/>
              </w:rPr>
              <w:t>4</w:t>
            </w:r>
          </w:p>
        </w:tc>
        <w:tc>
          <w:tcPr>
            <w:tcW w:w="890"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r w:rsidRPr="00EB0561">
              <w:rPr>
                <w:rFonts w:eastAsia="Times New Roman" w:cs="Times New Roman"/>
                <w:szCs w:val="24"/>
              </w:rPr>
              <w:t>µg/L</w:t>
            </w:r>
          </w:p>
        </w:tc>
        <w:tc>
          <w:tcPr>
            <w:tcW w:w="1319"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p>
        </w:tc>
        <w:tc>
          <w:tcPr>
            <w:tcW w:w="1728" w:type="dxa"/>
            <w:shd w:val="clear" w:color="auto" w:fill="auto"/>
            <w:noWrap/>
            <w:vAlign w:val="bottom"/>
            <w:hideMark/>
          </w:tcPr>
          <w:p w:rsidR="00EB0561" w:rsidRPr="00EB0561" w:rsidRDefault="00EB0561" w:rsidP="00EB0561">
            <w:pPr>
              <w:spacing w:after="0"/>
              <w:contextualSpacing w:val="0"/>
              <w:rPr>
                <w:rFonts w:eastAsia="Times New Roman" w:cs="Times New Roman"/>
                <w:szCs w:val="24"/>
              </w:rPr>
            </w:pPr>
          </w:p>
        </w:tc>
        <w:tc>
          <w:tcPr>
            <w:tcW w:w="1021" w:type="dxa"/>
            <w:shd w:val="clear" w:color="auto" w:fill="auto"/>
            <w:noWrap/>
            <w:vAlign w:val="bottom"/>
            <w:hideMark/>
          </w:tcPr>
          <w:p w:rsidR="00EB0561" w:rsidRPr="00EB0561" w:rsidRDefault="00EB0561" w:rsidP="00EB0561">
            <w:pPr>
              <w:spacing w:after="0"/>
              <w:contextualSpacing w:val="0"/>
              <w:jc w:val="right"/>
              <w:rPr>
                <w:rFonts w:eastAsia="Times New Roman" w:cs="Times New Roman"/>
                <w:szCs w:val="24"/>
              </w:rPr>
            </w:pPr>
            <w:r w:rsidRPr="00EB0561">
              <w:rPr>
                <w:rFonts w:eastAsia="Times New Roman" w:cs="Times New Roman"/>
                <w:szCs w:val="24"/>
              </w:rPr>
              <w:t>80.0</w:t>
            </w:r>
          </w:p>
        </w:tc>
      </w:tr>
    </w:tbl>
    <w:p w:rsidR="00A837D3" w:rsidRDefault="00A837D3" w:rsidP="003A68FE">
      <w:pPr>
        <w:spacing w:after="0"/>
      </w:pPr>
    </w:p>
    <w:p w:rsidR="00A837D3" w:rsidRDefault="00A837D3" w:rsidP="00F30B1D">
      <w:pPr>
        <w:spacing w:line="276" w:lineRule="auto"/>
      </w:pPr>
      <w:r>
        <w:t>As one can see the data was not as consistent when the laboratory was presented with a double-blind sample.  However, the premise that GFAA produces a low bias and ICP/MS produces a high bias is clearly not supported by the data.  Two labs reported Not Detected (ND) for this sample, one at a Method Detection Limit (MDL) of 2 µg/L (Acculab by GFAA) and one at 0.359 µg/L (Analabs by ICP/MS).</w:t>
      </w:r>
    </w:p>
    <w:p w:rsidR="00F30B1D" w:rsidRDefault="00F30B1D" w:rsidP="00F30B1D">
      <w:pPr>
        <w:pStyle w:val="NoSpacing"/>
      </w:pPr>
    </w:p>
    <w:p w:rsidR="00F30B1D" w:rsidRDefault="00F30B1D" w:rsidP="00F30B1D">
      <w:pPr>
        <w:pStyle w:val="NoSpacing"/>
      </w:pPr>
    </w:p>
    <w:p w:rsidR="00F30B1D" w:rsidRDefault="00F30B1D" w:rsidP="00F30B1D">
      <w:pPr>
        <w:pStyle w:val="NoSpacing"/>
      </w:pPr>
    </w:p>
    <w:p w:rsidR="00F30B1D" w:rsidRDefault="00F30B1D" w:rsidP="00F30B1D">
      <w:pPr>
        <w:pStyle w:val="NoSpacing"/>
      </w:pPr>
    </w:p>
    <w:p w:rsidR="00F30B1D" w:rsidRDefault="00F30B1D" w:rsidP="00F30B1D">
      <w:pPr>
        <w:pStyle w:val="NoSpacing"/>
      </w:pPr>
    </w:p>
    <w:p w:rsidR="00F30B1D" w:rsidRDefault="00F30B1D" w:rsidP="00F30B1D">
      <w:pPr>
        <w:pStyle w:val="NoSpacing"/>
      </w:pPr>
    </w:p>
    <w:p w:rsidR="00F30B1D" w:rsidRDefault="00F30B1D" w:rsidP="00F30B1D">
      <w:pPr>
        <w:pStyle w:val="NoSpacing"/>
      </w:pPr>
    </w:p>
    <w:p w:rsidR="00F30B1D" w:rsidRDefault="00F30B1D" w:rsidP="00F30B1D">
      <w:pPr>
        <w:pStyle w:val="NoSpacing"/>
      </w:pPr>
    </w:p>
    <w:p w:rsidR="00F30B1D" w:rsidRDefault="00F30B1D" w:rsidP="00F30B1D">
      <w:pPr>
        <w:pStyle w:val="NoSpacing"/>
      </w:pPr>
    </w:p>
    <w:p w:rsidR="00A837D3" w:rsidRDefault="00A837D3" w:rsidP="00F30B1D">
      <w:pPr>
        <w:spacing w:line="276" w:lineRule="auto"/>
      </w:pPr>
      <w:r>
        <w:lastRenderedPageBreak/>
        <w:t>The following chart gives a visual depiction of the raw results from Phase II including the ND results.</w:t>
      </w:r>
    </w:p>
    <w:p w:rsidR="00A837D3" w:rsidRDefault="00A837D3" w:rsidP="00A837D3">
      <w:pPr>
        <w:rPr>
          <w:b/>
        </w:rPr>
      </w:pPr>
    </w:p>
    <w:p w:rsidR="00A837D3" w:rsidRPr="00040028" w:rsidRDefault="00A837D3" w:rsidP="00A837D3">
      <w:pPr>
        <w:rPr>
          <w:b/>
          <w:sz w:val="32"/>
          <w:szCs w:val="32"/>
        </w:rPr>
      </w:pPr>
      <w:r w:rsidRPr="00040028">
        <w:rPr>
          <w:b/>
          <w:sz w:val="32"/>
          <w:szCs w:val="32"/>
        </w:rPr>
        <w:t>Chart 3.</w:t>
      </w:r>
    </w:p>
    <w:p w:rsidR="00A837D3" w:rsidRPr="00692A66" w:rsidRDefault="00480531" w:rsidP="00A837D3">
      <w:pPr>
        <w:rPr>
          <w:b/>
        </w:rPr>
      </w:pPr>
      <w:r w:rsidRPr="00480531">
        <w:rPr>
          <w:b/>
          <w:noProof/>
        </w:rPr>
        <w:drawing>
          <wp:inline distT="0" distB="0" distL="0" distR="0">
            <wp:extent cx="5943600" cy="5200650"/>
            <wp:effectExtent l="19050" t="0" r="19050" b="0"/>
            <wp:docPr id="1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837D3" w:rsidRDefault="00A837D3" w:rsidP="00A837D3"/>
    <w:tbl>
      <w:tblPr>
        <w:tblW w:w="9627" w:type="dxa"/>
        <w:tblInd w:w="108" w:type="dxa"/>
        <w:tblLook w:val="04A0"/>
      </w:tblPr>
      <w:tblGrid>
        <w:gridCol w:w="2645"/>
        <w:gridCol w:w="850"/>
        <w:gridCol w:w="1883"/>
        <w:gridCol w:w="850"/>
        <w:gridCol w:w="2549"/>
        <w:gridCol w:w="850"/>
      </w:tblGrid>
      <w:tr w:rsidR="00040028" w:rsidRPr="00C71448" w:rsidTr="00040028">
        <w:trPr>
          <w:trHeight w:val="325"/>
        </w:trPr>
        <w:tc>
          <w:tcPr>
            <w:tcW w:w="2645" w:type="dxa"/>
            <w:tcBorders>
              <w:top w:val="nil"/>
              <w:left w:val="nil"/>
              <w:bottom w:val="nil"/>
              <w:right w:val="nil"/>
            </w:tcBorders>
            <w:shd w:val="clear" w:color="auto" w:fill="auto"/>
            <w:noWrap/>
            <w:vAlign w:val="bottom"/>
            <w:hideMark/>
          </w:tcPr>
          <w:p w:rsidR="00040028" w:rsidRPr="00C71448" w:rsidRDefault="00040028" w:rsidP="00902DC1">
            <w:pPr>
              <w:spacing w:after="0"/>
              <w:contextualSpacing w:val="0"/>
              <w:rPr>
                <w:rFonts w:eastAsia="Times New Roman" w:cs="Times New Roman"/>
                <w:color w:val="000000"/>
                <w:szCs w:val="24"/>
              </w:rPr>
            </w:pPr>
            <w:r w:rsidRPr="00C71448">
              <w:rPr>
                <w:rFonts w:eastAsia="Times New Roman" w:cs="Times New Roman"/>
                <w:color w:val="000000"/>
                <w:szCs w:val="24"/>
              </w:rPr>
              <w:t>Graphite Furnace AA</w:t>
            </w:r>
          </w:p>
        </w:tc>
        <w:tc>
          <w:tcPr>
            <w:tcW w:w="850" w:type="dxa"/>
            <w:tcBorders>
              <w:top w:val="nil"/>
              <w:left w:val="nil"/>
              <w:bottom w:val="nil"/>
              <w:right w:val="nil"/>
            </w:tcBorders>
            <w:shd w:val="clear" w:color="000000" w:fill="FFFF00"/>
            <w:noWrap/>
            <w:vAlign w:val="bottom"/>
            <w:hideMark/>
          </w:tcPr>
          <w:p w:rsidR="00040028" w:rsidRPr="00C71448" w:rsidRDefault="00040028" w:rsidP="00902DC1">
            <w:pPr>
              <w:spacing w:after="0"/>
              <w:contextualSpacing w:val="0"/>
              <w:rPr>
                <w:rFonts w:ascii="Calibri" w:eastAsia="Times New Roman" w:hAnsi="Calibri" w:cs="Times New Roman"/>
                <w:color w:val="000000"/>
                <w:sz w:val="22"/>
              </w:rPr>
            </w:pPr>
            <w:r w:rsidRPr="00C71448">
              <w:rPr>
                <w:rFonts w:ascii="Calibri" w:eastAsia="Times New Roman" w:hAnsi="Calibri" w:cs="Times New Roman"/>
                <w:color w:val="000000"/>
                <w:sz w:val="22"/>
              </w:rPr>
              <w:t> </w:t>
            </w:r>
          </w:p>
        </w:tc>
        <w:tc>
          <w:tcPr>
            <w:tcW w:w="1883" w:type="dxa"/>
            <w:tcBorders>
              <w:top w:val="nil"/>
              <w:left w:val="nil"/>
              <w:bottom w:val="nil"/>
              <w:right w:val="nil"/>
            </w:tcBorders>
            <w:shd w:val="clear" w:color="auto" w:fill="auto"/>
            <w:noWrap/>
            <w:vAlign w:val="bottom"/>
            <w:hideMark/>
          </w:tcPr>
          <w:p w:rsidR="00040028" w:rsidRPr="00C71448" w:rsidRDefault="00040028" w:rsidP="00902DC1">
            <w:pPr>
              <w:spacing w:after="0"/>
              <w:contextualSpacing w:val="0"/>
              <w:rPr>
                <w:rFonts w:eastAsia="Times New Roman" w:cs="Times New Roman"/>
                <w:color w:val="000000"/>
                <w:szCs w:val="24"/>
              </w:rPr>
            </w:pPr>
            <w:r w:rsidRPr="00C71448">
              <w:rPr>
                <w:rFonts w:eastAsia="Times New Roman" w:cs="Times New Roman"/>
                <w:color w:val="000000"/>
                <w:szCs w:val="24"/>
              </w:rPr>
              <w:t>ICP- Mass Spec</w:t>
            </w:r>
          </w:p>
        </w:tc>
        <w:tc>
          <w:tcPr>
            <w:tcW w:w="850" w:type="dxa"/>
            <w:tcBorders>
              <w:top w:val="nil"/>
              <w:left w:val="nil"/>
              <w:bottom w:val="nil"/>
              <w:right w:val="nil"/>
            </w:tcBorders>
            <w:shd w:val="clear" w:color="000000" w:fill="00B050"/>
            <w:noWrap/>
            <w:vAlign w:val="bottom"/>
            <w:hideMark/>
          </w:tcPr>
          <w:p w:rsidR="00040028" w:rsidRPr="00C71448" w:rsidRDefault="00040028" w:rsidP="00902DC1">
            <w:pPr>
              <w:spacing w:after="0"/>
              <w:contextualSpacing w:val="0"/>
              <w:rPr>
                <w:rFonts w:ascii="Calibri" w:eastAsia="Times New Roman" w:hAnsi="Calibri" w:cs="Times New Roman"/>
                <w:color w:val="000000"/>
                <w:sz w:val="22"/>
              </w:rPr>
            </w:pPr>
            <w:r w:rsidRPr="00C71448">
              <w:rPr>
                <w:rFonts w:ascii="Calibri" w:eastAsia="Times New Roman" w:hAnsi="Calibri" w:cs="Times New Roman"/>
                <w:color w:val="000000"/>
                <w:sz w:val="22"/>
              </w:rPr>
              <w:t> </w:t>
            </w:r>
          </w:p>
        </w:tc>
        <w:tc>
          <w:tcPr>
            <w:tcW w:w="2549" w:type="dxa"/>
            <w:tcBorders>
              <w:top w:val="nil"/>
              <w:left w:val="nil"/>
              <w:bottom w:val="nil"/>
              <w:right w:val="nil"/>
            </w:tcBorders>
            <w:shd w:val="clear" w:color="auto" w:fill="auto"/>
            <w:noWrap/>
            <w:vAlign w:val="bottom"/>
            <w:hideMark/>
          </w:tcPr>
          <w:p w:rsidR="00040028" w:rsidRPr="00C71448" w:rsidRDefault="00040028" w:rsidP="00902DC1">
            <w:pPr>
              <w:spacing w:after="0"/>
              <w:contextualSpacing w:val="0"/>
              <w:rPr>
                <w:rFonts w:eastAsia="Times New Roman" w:cs="Times New Roman"/>
                <w:color w:val="000000"/>
                <w:szCs w:val="24"/>
              </w:rPr>
            </w:pPr>
            <w:r w:rsidRPr="00C71448">
              <w:rPr>
                <w:rFonts w:eastAsia="Times New Roman" w:cs="Times New Roman"/>
                <w:color w:val="000000"/>
                <w:szCs w:val="24"/>
              </w:rPr>
              <w:t>Gaseous Hydride-AA</w:t>
            </w:r>
          </w:p>
        </w:tc>
        <w:tc>
          <w:tcPr>
            <w:tcW w:w="850" w:type="dxa"/>
            <w:tcBorders>
              <w:top w:val="nil"/>
              <w:left w:val="nil"/>
              <w:bottom w:val="nil"/>
              <w:right w:val="nil"/>
            </w:tcBorders>
            <w:shd w:val="clear" w:color="000000" w:fill="7030A0"/>
            <w:noWrap/>
            <w:vAlign w:val="bottom"/>
            <w:hideMark/>
          </w:tcPr>
          <w:p w:rsidR="00040028" w:rsidRPr="00C71448" w:rsidRDefault="00040028" w:rsidP="00902DC1">
            <w:pPr>
              <w:spacing w:after="0"/>
              <w:contextualSpacing w:val="0"/>
              <w:rPr>
                <w:rFonts w:ascii="Calibri" w:eastAsia="Times New Roman" w:hAnsi="Calibri" w:cs="Times New Roman"/>
                <w:color w:val="000000"/>
                <w:sz w:val="22"/>
              </w:rPr>
            </w:pPr>
            <w:r w:rsidRPr="00C71448">
              <w:rPr>
                <w:rFonts w:ascii="Calibri" w:eastAsia="Times New Roman" w:hAnsi="Calibri" w:cs="Times New Roman"/>
                <w:color w:val="000000"/>
                <w:sz w:val="22"/>
              </w:rPr>
              <w:t> </w:t>
            </w:r>
          </w:p>
        </w:tc>
      </w:tr>
    </w:tbl>
    <w:p w:rsidR="00F30B1D" w:rsidRDefault="00F30B1D" w:rsidP="00A837D3"/>
    <w:p w:rsidR="00F30B1D" w:rsidRDefault="00F30B1D" w:rsidP="00A837D3"/>
    <w:p w:rsidR="00F30B1D" w:rsidRDefault="00F30B1D" w:rsidP="00A837D3"/>
    <w:p w:rsidR="00F30B1D" w:rsidRDefault="00F30B1D" w:rsidP="00A837D3"/>
    <w:p w:rsidR="00F30B1D" w:rsidRDefault="00F30B1D" w:rsidP="00A837D3"/>
    <w:p w:rsidR="00F30B1D" w:rsidRDefault="00F30B1D" w:rsidP="00A837D3"/>
    <w:p w:rsidR="00F30B1D" w:rsidRDefault="00F30B1D" w:rsidP="00A837D3"/>
    <w:p w:rsidR="00F30B1D" w:rsidRDefault="00F30B1D" w:rsidP="00A837D3"/>
    <w:p w:rsidR="00F30B1D" w:rsidRDefault="00F30B1D" w:rsidP="00A837D3"/>
    <w:p w:rsidR="00A837D3" w:rsidRDefault="00A837D3" w:rsidP="00F30B1D">
      <w:pPr>
        <w:spacing w:line="276" w:lineRule="auto"/>
      </w:pPr>
      <w:r>
        <w:lastRenderedPageBreak/>
        <w:t>The following chart gives a visual depiction of the percent recovery data for raw results from Phase II including the ND results.</w:t>
      </w:r>
    </w:p>
    <w:p w:rsidR="00A837D3" w:rsidRDefault="00A837D3" w:rsidP="00A837D3">
      <w:pPr>
        <w:rPr>
          <w:b/>
        </w:rPr>
      </w:pPr>
    </w:p>
    <w:p w:rsidR="00A837D3" w:rsidRPr="00040028" w:rsidRDefault="00A837D3" w:rsidP="00A837D3">
      <w:pPr>
        <w:rPr>
          <w:b/>
          <w:sz w:val="32"/>
          <w:szCs w:val="32"/>
        </w:rPr>
      </w:pPr>
      <w:r w:rsidRPr="00040028">
        <w:rPr>
          <w:b/>
          <w:sz w:val="32"/>
          <w:szCs w:val="32"/>
        </w:rPr>
        <w:t>Chart 4.</w:t>
      </w:r>
    </w:p>
    <w:p w:rsidR="00A837D3" w:rsidRDefault="00480531" w:rsidP="00A837D3">
      <w:r w:rsidRPr="00480531">
        <w:rPr>
          <w:noProof/>
        </w:rPr>
        <w:drawing>
          <wp:inline distT="0" distB="0" distL="0" distR="0">
            <wp:extent cx="5943600" cy="5200650"/>
            <wp:effectExtent l="19050" t="0" r="19050" b="0"/>
            <wp:docPr id="1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837D3" w:rsidRDefault="00A837D3" w:rsidP="00A837D3"/>
    <w:tbl>
      <w:tblPr>
        <w:tblW w:w="9627" w:type="dxa"/>
        <w:tblInd w:w="108" w:type="dxa"/>
        <w:tblLook w:val="04A0"/>
      </w:tblPr>
      <w:tblGrid>
        <w:gridCol w:w="2645"/>
        <w:gridCol w:w="850"/>
        <w:gridCol w:w="1883"/>
        <w:gridCol w:w="850"/>
        <w:gridCol w:w="2549"/>
        <w:gridCol w:w="850"/>
      </w:tblGrid>
      <w:tr w:rsidR="00040028" w:rsidRPr="00C71448" w:rsidTr="00902DC1">
        <w:trPr>
          <w:trHeight w:val="325"/>
        </w:trPr>
        <w:tc>
          <w:tcPr>
            <w:tcW w:w="2490" w:type="dxa"/>
            <w:tcBorders>
              <w:top w:val="nil"/>
              <w:left w:val="nil"/>
              <w:bottom w:val="nil"/>
              <w:right w:val="nil"/>
            </w:tcBorders>
            <w:shd w:val="clear" w:color="auto" w:fill="auto"/>
            <w:noWrap/>
            <w:vAlign w:val="bottom"/>
            <w:hideMark/>
          </w:tcPr>
          <w:p w:rsidR="00040028" w:rsidRPr="00C71448" w:rsidRDefault="00040028" w:rsidP="00902DC1">
            <w:pPr>
              <w:spacing w:after="0"/>
              <w:contextualSpacing w:val="0"/>
              <w:rPr>
                <w:rFonts w:eastAsia="Times New Roman" w:cs="Times New Roman"/>
                <w:color w:val="000000"/>
                <w:szCs w:val="24"/>
              </w:rPr>
            </w:pPr>
            <w:bookmarkStart w:id="0" w:name="OLE_LINK1"/>
            <w:bookmarkStart w:id="1" w:name="OLE_LINK2"/>
            <w:r w:rsidRPr="00C71448">
              <w:rPr>
                <w:rFonts w:eastAsia="Times New Roman" w:cs="Times New Roman"/>
                <w:color w:val="000000"/>
                <w:szCs w:val="24"/>
              </w:rPr>
              <w:t>Graphite Furnace AA</w:t>
            </w:r>
          </w:p>
        </w:tc>
        <w:tc>
          <w:tcPr>
            <w:tcW w:w="800" w:type="dxa"/>
            <w:tcBorders>
              <w:top w:val="nil"/>
              <w:left w:val="nil"/>
              <w:bottom w:val="nil"/>
              <w:right w:val="nil"/>
            </w:tcBorders>
            <w:shd w:val="clear" w:color="000000" w:fill="FFFF00"/>
            <w:noWrap/>
            <w:vAlign w:val="bottom"/>
            <w:hideMark/>
          </w:tcPr>
          <w:p w:rsidR="00040028" w:rsidRPr="00C71448" w:rsidRDefault="00040028" w:rsidP="00902DC1">
            <w:pPr>
              <w:spacing w:after="0"/>
              <w:contextualSpacing w:val="0"/>
              <w:rPr>
                <w:rFonts w:ascii="Calibri" w:eastAsia="Times New Roman" w:hAnsi="Calibri" w:cs="Times New Roman"/>
                <w:color w:val="000000"/>
                <w:sz w:val="22"/>
              </w:rPr>
            </w:pPr>
            <w:r w:rsidRPr="00C71448">
              <w:rPr>
                <w:rFonts w:ascii="Calibri" w:eastAsia="Times New Roman" w:hAnsi="Calibri" w:cs="Times New Roman"/>
                <w:color w:val="000000"/>
                <w:sz w:val="22"/>
              </w:rPr>
              <w:t> </w:t>
            </w:r>
          </w:p>
        </w:tc>
        <w:tc>
          <w:tcPr>
            <w:tcW w:w="1773" w:type="dxa"/>
            <w:tcBorders>
              <w:top w:val="nil"/>
              <w:left w:val="nil"/>
              <w:bottom w:val="nil"/>
              <w:right w:val="nil"/>
            </w:tcBorders>
            <w:shd w:val="clear" w:color="auto" w:fill="auto"/>
            <w:noWrap/>
            <w:vAlign w:val="bottom"/>
            <w:hideMark/>
          </w:tcPr>
          <w:p w:rsidR="00040028" w:rsidRPr="00C71448" w:rsidRDefault="00040028" w:rsidP="00902DC1">
            <w:pPr>
              <w:spacing w:after="0"/>
              <w:contextualSpacing w:val="0"/>
              <w:rPr>
                <w:rFonts w:eastAsia="Times New Roman" w:cs="Times New Roman"/>
                <w:color w:val="000000"/>
                <w:szCs w:val="24"/>
              </w:rPr>
            </w:pPr>
            <w:r w:rsidRPr="00C71448">
              <w:rPr>
                <w:rFonts w:eastAsia="Times New Roman" w:cs="Times New Roman"/>
                <w:color w:val="000000"/>
                <w:szCs w:val="24"/>
              </w:rPr>
              <w:t>ICP- Mass Spec</w:t>
            </w:r>
          </w:p>
        </w:tc>
        <w:tc>
          <w:tcPr>
            <w:tcW w:w="800" w:type="dxa"/>
            <w:tcBorders>
              <w:top w:val="nil"/>
              <w:left w:val="nil"/>
              <w:bottom w:val="nil"/>
              <w:right w:val="nil"/>
            </w:tcBorders>
            <w:shd w:val="clear" w:color="000000" w:fill="00B050"/>
            <w:noWrap/>
            <w:vAlign w:val="bottom"/>
            <w:hideMark/>
          </w:tcPr>
          <w:p w:rsidR="00040028" w:rsidRPr="00C71448" w:rsidRDefault="00040028" w:rsidP="00902DC1">
            <w:pPr>
              <w:spacing w:after="0"/>
              <w:contextualSpacing w:val="0"/>
              <w:rPr>
                <w:rFonts w:ascii="Calibri" w:eastAsia="Times New Roman" w:hAnsi="Calibri" w:cs="Times New Roman"/>
                <w:color w:val="000000"/>
                <w:sz w:val="22"/>
              </w:rPr>
            </w:pPr>
            <w:r w:rsidRPr="00C71448">
              <w:rPr>
                <w:rFonts w:ascii="Calibri" w:eastAsia="Times New Roman" w:hAnsi="Calibri" w:cs="Times New Roman"/>
                <w:color w:val="000000"/>
                <w:sz w:val="22"/>
              </w:rPr>
              <w:t> </w:t>
            </w:r>
          </w:p>
        </w:tc>
        <w:tc>
          <w:tcPr>
            <w:tcW w:w="2400" w:type="dxa"/>
            <w:tcBorders>
              <w:top w:val="nil"/>
              <w:left w:val="nil"/>
              <w:bottom w:val="nil"/>
              <w:right w:val="nil"/>
            </w:tcBorders>
            <w:shd w:val="clear" w:color="auto" w:fill="auto"/>
            <w:noWrap/>
            <w:vAlign w:val="bottom"/>
            <w:hideMark/>
          </w:tcPr>
          <w:p w:rsidR="00040028" w:rsidRPr="00C71448" w:rsidRDefault="00040028" w:rsidP="00902DC1">
            <w:pPr>
              <w:spacing w:after="0"/>
              <w:contextualSpacing w:val="0"/>
              <w:rPr>
                <w:rFonts w:eastAsia="Times New Roman" w:cs="Times New Roman"/>
                <w:color w:val="000000"/>
                <w:szCs w:val="24"/>
              </w:rPr>
            </w:pPr>
            <w:r w:rsidRPr="00C71448">
              <w:rPr>
                <w:rFonts w:eastAsia="Times New Roman" w:cs="Times New Roman"/>
                <w:color w:val="000000"/>
                <w:szCs w:val="24"/>
              </w:rPr>
              <w:t>Gaseous Hydride-AA</w:t>
            </w:r>
          </w:p>
        </w:tc>
        <w:tc>
          <w:tcPr>
            <w:tcW w:w="800" w:type="dxa"/>
            <w:tcBorders>
              <w:top w:val="nil"/>
              <w:left w:val="nil"/>
              <w:bottom w:val="nil"/>
              <w:right w:val="nil"/>
            </w:tcBorders>
            <w:shd w:val="clear" w:color="000000" w:fill="7030A0"/>
            <w:noWrap/>
            <w:vAlign w:val="bottom"/>
            <w:hideMark/>
          </w:tcPr>
          <w:p w:rsidR="00040028" w:rsidRPr="00C71448" w:rsidRDefault="00040028" w:rsidP="00902DC1">
            <w:pPr>
              <w:spacing w:after="0"/>
              <w:contextualSpacing w:val="0"/>
              <w:rPr>
                <w:rFonts w:ascii="Calibri" w:eastAsia="Times New Roman" w:hAnsi="Calibri" w:cs="Times New Roman"/>
                <w:color w:val="000000"/>
                <w:sz w:val="22"/>
              </w:rPr>
            </w:pPr>
            <w:r w:rsidRPr="00C71448">
              <w:rPr>
                <w:rFonts w:ascii="Calibri" w:eastAsia="Times New Roman" w:hAnsi="Calibri" w:cs="Times New Roman"/>
                <w:color w:val="000000"/>
                <w:sz w:val="22"/>
              </w:rPr>
              <w:t> </w:t>
            </w:r>
          </w:p>
        </w:tc>
      </w:tr>
      <w:bookmarkEnd w:id="0"/>
      <w:bookmarkEnd w:id="1"/>
    </w:tbl>
    <w:p w:rsidR="00A837D3" w:rsidRDefault="00A837D3" w:rsidP="00A837D3"/>
    <w:p w:rsidR="00A837D3" w:rsidRDefault="00A837D3" w:rsidP="00A837D3"/>
    <w:p w:rsidR="00A837D3" w:rsidRDefault="00A837D3" w:rsidP="00A837D3"/>
    <w:p w:rsidR="00A837D3" w:rsidRDefault="00A837D3" w:rsidP="00A837D3"/>
    <w:p w:rsidR="00A837D3" w:rsidRDefault="00A837D3" w:rsidP="00A837D3"/>
    <w:p w:rsidR="00A837D3" w:rsidRDefault="00A837D3" w:rsidP="00A837D3"/>
    <w:p w:rsidR="00A837D3" w:rsidRDefault="00A837D3" w:rsidP="00A837D3"/>
    <w:p w:rsidR="00A837D3" w:rsidRDefault="00A837D3" w:rsidP="00A837D3"/>
    <w:p w:rsidR="00A837D3" w:rsidRDefault="00A837D3" w:rsidP="00A837D3"/>
    <w:p w:rsidR="00A837D3" w:rsidRDefault="00A837D3" w:rsidP="00A837D3"/>
    <w:p w:rsidR="00A837D3" w:rsidRDefault="00A837D3" w:rsidP="00F30B1D">
      <w:pPr>
        <w:spacing w:line="276" w:lineRule="auto"/>
      </w:pPr>
      <w:r>
        <w:lastRenderedPageBreak/>
        <w:t>For the purposes of this study, the following table of data was used to determine bias according to the scope of the study</w:t>
      </w:r>
      <w:r w:rsidR="005B7C9D">
        <w:t>, which was to determine what if any bias is present in analytical results reported by GFAA or ICP/MS</w:t>
      </w:r>
      <w:r>
        <w:t>.</w:t>
      </w:r>
    </w:p>
    <w:p w:rsidR="00A837D3" w:rsidRDefault="00A837D3" w:rsidP="00A837D3"/>
    <w:p w:rsidR="00A837D3" w:rsidRPr="00040028" w:rsidRDefault="00A837D3" w:rsidP="00A837D3">
      <w:pPr>
        <w:rPr>
          <w:b/>
          <w:sz w:val="32"/>
          <w:szCs w:val="32"/>
        </w:rPr>
      </w:pPr>
      <w:r w:rsidRPr="00040028">
        <w:rPr>
          <w:b/>
          <w:sz w:val="32"/>
          <w:szCs w:val="32"/>
        </w:rPr>
        <w:t>Table 4.</w:t>
      </w:r>
    </w:p>
    <w:p w:rsidR="00A837D3" w:rsidRDefault="00A837D3" w:rsidP="00A837D3"/>
    <w:tbl>
      <w:tblPr>
        <w:tblW w:w="85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0"/>
        <w:gridCol w:w="460"/>
        <w:gridCol w:w="1088"/>
        <w:gridCol w:w="1080"/>
        <w:gridCol w:w="1190"/>
        <w:gridCol w:w="1283"/>
        <w:gridCol w:w="1080"/>
      </w:tblGrid>
      <w:tr w:rsidR="00A837D3" w:rsidRPr="00B936B8" w:rsidTr="00A837D3">
        <w:trPr>
          <w:trHeight w:val="405"/>
        </w:trPr>
        <w:tc>
          <w:tcPr>
            <w:tcW w:w="2720" w:type="dxa"/>
            <w:shd w:val="clear" w:color="auto" w:fill="auto"/>
            <w:noWrap/>
            <w:vAlign w:val="bottom"/>
            <w:hideMark/>
          </w:tcPr>
          <w:p w:rsidR="00A837D3" w:rsidRPr="00F4161B" w:rsidRDefault="00A837D3" w:rsidP="003A68FE">
            <w:pPr>
              <w:spacing w:after="0"/>
              <w:contextualSpacing w:val="0"/>
              <w:rPr>
                <w:rFonts w:eastAsia="Times New Roman" w:cs="Times New Roman"/>
                <w:b/>
                <w:bCs/>
                <w:sz w:val="32"/>
                <w:szCs w:val="32"/>
              </w:rPr>
            </w:pPr>
            <w:r w:rsidRPr="00F4161B">
              <w:rPr>
                <w:rFonts w:eastAsia="Times New Roman" w:cs="Times New Roman"/>
                <w:b/>
                <w:bCs/>
                <w:sz w:val="32"/>
                <w:szCs w:val="32"/>
              </w:rPr>
              <w:t>Lab</w:t>
            </w:r>
          </w:p>
        </w:tc>
        <w:tc>
          <w:tcPr>
            <w:tcW w:w="460" w:type="dxa"/>
            <w:shd w:val="clear" w:color="auto" w:fill="auto"/>
            <w:noWrap/>
            <w:vAlign w:val="bottom"/>
            <w:hideMark/>
          </w:tcPr>
          <w:p w:rsidR="00A837D3" w:rsidRPr="00F4161B" w:rsidRDefault="00A837D3" w:rsidP="003A68FE">
            <w:pPr>
              <w:spacing w:after="0"/>
              <w:contextualSpacing w:val="0"/>
              <w:rPr>
                <w:rFonts w:eastAsia="Times New Roman" w:cs="Times New Roman"/>
                <w:b/>
                <w:bCs/>
                <w:sz w:val="32"/>
                <w:szCs w:val="32"/>
              </w:rPr>
            </w:pPr>
          </w:p>
        </w:tc>
        <w:tc>
          <w:tcPr>
            <w:tcW w:w="1080" w:type="dxa"/>
            <w:shd w:val="clear" w:color="auto" w:fill="auto"/>
            <w:noWrap/>
            <w:vAlign w:val="bottom"/>
            <w:hideMark/>
          </w:tcPr>
          <w:p w:rsidR="00A837D3" w:rsidRPr="00F4161B" w:rsidRDefault="00A837D3" w:rsidP="003A68FE">
            <w:pPr>
              <w:spacing w:after="0"/>
              <w:contextualSpacing w:val="0"/>
              <w:rPr>
                <w:rFonts w:eastAsia="Times New Roman" w:cs="Times New Roman"/>
                <w:b/>
                <w:sz w:val="32"/>
                <w:szCs w:val="32"/>
              </w:rPr>
            </w:pPr>
            <w:r w:rsidRPr="00F4161B">
              <w:rPr>
                <w:rFonts w:eastAsia="Times New Roman" w:cs="Times New Roman"/>
                <w:b/>
                <w:sz w:val="32"/>
                <w:szCs w:val="32"/>
              </w:rPr>
              <w:t>Result</w:t>
            </w:r>
          </w:p>
        </w:tc>
        <w:tc>
          <w:tcPr>
            <w:tcW w:w="1080" w:type="dxa"/>
            <w:shd w:val="clear" w:color="auto" w:fill="auto"/>
            <w:noWrap/>
            <w:vAlign w:val="bottom"/>
            <w:hideMark/>
          </w:tcPr>
          <w:p w:rsidR="00A837D3" w:rsidRPr="00F4161B" w:rsidRDefault="00A837D3" w:rsidP="003A68FE">
            <w:pPr>
              <w:spacing w:after="0"/>
              <w:contextualSpacing w:val="0"/>
              <w:rPr>
                <w:rFonts w:eastAsia="Times New Roman" w:cs="Times New Roman"/>
                <w:b/>
                <w:sz w:val="32"/>
                <w:szCs w:val="32"/>
              </w:rPr>
            </w:pPr>
            <w:r w:rsidRPr="00F4161B">
              <w:rPr>
                <w:rFonts w:eastAsia="Times New Roman" w:cs="Times New Roman"/>
                <w:b/>
                <w:sz w:val="32"/>
                <w:szCs w:val="32"/>
              </w:rPr>
              <w:t>units</w:t>
            </w:r>
          </w:p>
        </w:tc>
        <w:tc>
          <w:tcPr>
            <w:tcW w:w="1080" w:type="dxa"/>
            <w:shd w:val="clear" w:color="auto" w:fill="auto"/>
            <w:noWrap/>
            <w:vAlign w:val="bottom"/>
            <w:hideMark/>
          </w:tcPr>
          <w:p w:rsidR="00A837D3" w:rsidRPr="00F4161B" w:rsidRDefault="00A837D3" w:rsidP="003A68FE">
            <w:pPr>
              <w:spacing w:after="0"/>
              <w:contextualSpacing w:val="0"/>
              <w:rPr>
                <w:rFonts w:eastAsia="Times New Roman" w:cs="Times New Roman"/>
                <w:b/>
                <w:sz w:val="32"/>
                <w:szCs w:val="32"/>
              </w:rPr>
            </w:pPr>
            <w:r w:rsidRPr="00F4161B">
              <w:rPr>
                <w:rFonts w:eastAsia="Times New Roman" w:cs="Times New Roman"/>
                <w:b/>
                <w:sz w:val="32"/>
                <w:szCs w:val="32"/>
              </w:rPr>
              <w:t xml:space="preserve">Date </w:t>
            </w:r>
          </w:p>
        </w:tc>
        <w:tc>
          <w:tcPr>
            <w:tcW w:w="1080" w:type="dxa"/>
            <w:shd w:val="clear" w:color="auto" w:fill="auto"/>
            <w:noWrap/>
            <w:vAlign w:val="bottom"/>
            <w:hideMark/>
          </w:tcPr>
          <w:p w:rsidR="00A837D3" w:rsidRPr="00F4161B" w:rsidRDefault="00A837D3" w:rsidP="003A68FE">
            <w:pPr>
              <w:spacing w:after="0"/>
              <w:contextualSpacing w:val="0"/>
              <w:rPr>
                <w:rFonts w:eastAsia="Times New Roman" w:cs="Times New Roman"/>
                <w:b/>
                <w:sz w:val="32"/>
                <w:szCs w:val="32"/>
              </w:rPr>
            </w:pPr>
            <w:r w:rsidRPr="00F4161B">
              <w:rPr>
                <w:rFonts w:eastAsia="Times New Roman" w:cs="Times New Roman"/>
                <w:b/>
                <w:sz w:val="32"/>
                <w:szCs w:val="32"/>
              </w:rPr>
              <w:t>Method</w:t>
            </w:r>
          </w:p>
        </w:tc>
        <w:tc>
          <w:tcPr>
            <w:tcW w:w="1080" w:type="dxa"/>
            <w:shd w:val="clear" w:color="auto" w:fill="auto"/>
            <w:noWrap/>
            <w:vAlign w:val="bottom"/>
            <w:hideMark/>
          </w:tcPr>
          <w:p w:rsidR="00A837D3" w:rsidRPr="00F4161B" w:rsidRDefault="00A837D3" w:rsidP="003A68FE">
            <w:pPr>
              <w:spacing w:after="0"/>
              <w:contextualSpacing w:val="0"/>
              <w:rPr>
                <w:rFonts w:eastAsia="Times New Roman" w:cs="Times New Roman"/>
                <w:b/>
                <w:sz w:val="32"/>
                <w:szCs w:val="32"/>
              </w:rPr>
            </w:pPr>
            <w:r w:rsidRPr="00F4161B">
              <w:rPr>
                <w:rFonts w:eastAsia="Times New Roman" w:cs="Times New Roman"/>
                <w:b/>
                <w:sz w:val="32"/>
                <w:szCs w:val="32"/>
              </w:rPr>
              <w:t>% Rec.</w:t>
            </w:r>
          </w:p>
        </w:tc>
      </w:tr>
      <w:tr w:rsidR="00A837D3" w:rsidRPr="00B936B8" w:rsidTr="00A837D3">
        <w:trPr>
          <w:trHeight w:val="315"/>
        </w:trPr>
        <w:tc>
          <w:tcPr>
            <w:tcW w:w="272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r w:rsidRPr="00B936B8">
              <w:rPr>
                <w:rFonts w:eastAsia="Times New Roman" w:cs="Times New Roman"/>
                <w:szCs w:val="24"/>
              </w:rPr>
              <w:t>Appalachian Laboratories</w:t>
            </w:r>
          </w:p>
        </w:tc>
        <w:tc>
          <w:tcPr>
            <w:tcW w:w="46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p>
        </w:tc>
        <w:tc>
          <w:tcPr>
            <w:tcW w:w="1080" w:type="dxa"/>
            <w:shd w:val="clear" w:color="auto" w:fill="auto"/>
            <w:noWrap/>
            <w:vAlign w:val="bottom"/>
            <w:hideMark/>
          </w:tcPr>
          <w:p w:rsidR="00A837D3" w:rsidRPr="00B936B8" w:rsidRDefault="00A837D3" w:rsidP="003A68FE">
            <w:pPr>
              <w:spacing w:after="0"/>
              <w:contextualSpacing w:val="0"/>
              <w:jc w:val="right"/>
              <w:rPr>
                <w:rFonts w:eastAsia="Times New Roman" w:cs="Times New Roman"/>
                <w:szCs w:val="24"/>
              </w:rPr>
            </w:pPr>
            <w:r w:rsidRPr="00B936B8">
              <w:rPr>
                <w:rFonts w:eastAsia="Times New Roman" w:cs="Times New Roman"/>
                <w:szCs w:val="24"/>
              </w:rPr>
              <w:t>2.36</w:t>
            </w:r>
          </w:p>
        </w:tc>
        <w:tc>
          <w:tcPr>
            <w:tcW w:w="108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r w:rsidRPr="00B936B8">
              <w:rPr>
                <w:rFonts w:eastAsia="Times New Roman" w:cs="Times New Roman"/>
                <w:szCs w:val="24"/>
              </w:rPr>
              <w:t>µg/L</w:t>
            </w:r>
          </w:p>
        </w:tc>
        <w:tc>
          <w:tcPr>
            <w:tcW w:w="1080" w:type="dxa"/>
            <w:shd w:val="clear" w:color="auto" w:fill="auto"/>
            <w:noWrap/>
            <w:vAlign w:val="bottom"/>
            <w:hideMark/>
          </w:tcPr>
          <w:p w:rsidR="00A837D3" w:rsidRPr="00B936B8" w:rsidRDefault="00A837D3" w:rsidP="003A68FE">
            <w:pPr>
              <w:spacing w:after="0"/>
              <w:contextualSpacing w:val="0"/>
              <w:jc w:val="right"/>
              <w:rPr>
                <w:rFonts w:eastAsia="Times New Roman" w:cs="Times New Roman"/>
                <w:szCs w:val="24"/>
              </w:rPr>
            </w:pPr>
            <w:r w:rsidRPr="00B936B8">
              <w:rPr>
                <w:rFonts w:eastAsia="Times New Roman" w:cs="Times New Roman"/>
                <w:szCs w:val="24"/>
              </w:rPr>
              <w:t>4/25/2008</w:t>
            </w:r>
          </w:p>
        </w:tc>
        <w:tc>
          <w:tcPr>
            <w:tcW w:w="1080" w:type="dxa"/>
            <w:shd w:val="clear" w:color="auto" w:fill="auto"/>
            <w:noWrap/>
            <w:vAlign w:val="bottom"/>
            <w:hideMark/>
          </w:tcPr>
          <w:p w:rsidR="00A837D3" w:rsidRPr="00B936B8" w:rsidRDefault="00040028" w:rsidP="003A68FE">
            <w:pPr>
              <w:spacing w:after="0"/>
              <w:contextualSpacing w:val="0"/>
              <w:jc w:val="right"/>
              <w:rPr>
                <w:rFonts w:eastAsia="Times New Roman" w:cs="Times New Roman"/>
                <w:szCs w:val="24"/>
              </w:rPr>
            </w:pPr>
            <w:r>
              <w:rPr>
                <w:rFonts w:eastAsia="Times New Roman" w:cs="Times New Roman"/>
                <w:szCs w:val="24"/>
              </w:rPr>
              <w:t>GFAA</w:t>
            </w:r>
          </w:p>
        </w:tc>
        <w:tc>
          <w:tcPr>
            <w:tcW w:w="1080" w:type="dxa"/>
            <w:shd w:val="clear" w:color="auto" w:fill="auto"/>
            <w:noWrap/>
            <w:vAlign w:val="bottom"/>
            <w:hideMark/>
          </w:tcPr>
          <w:p w:rsidR="00A837D3" w:rsidRPr="00B936B8" w:rsidRDefault="00A837D3" w:rsidP="003A68FE">
            <w:pPr>
              <w:spacing w:after="0"/>
              <w:contextualSpacing w:val="0"/>
              <w:jc w:val="right"/>
              <w:rPr>
                <w:rFonts w:eastAsia="Times New Roman" w:cs="Times New Roman"/>
                <w:szCs w:val="24"/>
              </w:rPr>
            </w:pPr>
            <w:r w:rsidRPr="00B936B8">
              <w:rPr>
                <w:rFonts w:eastAsia="Times New Roman" w:cs="Times New Roman"/>
                <w:szCs w:val="24"/>
              </w:rPr>
              <w:t>47.2</w:t>
            </w:r>
          </w:p>
        </w:tc>
      </w:tr>
      <w:tr w:rsidR="00A837D3" w:rsidRPr="00B936B8" w:rsidTr="00A837D3">
        <w:trPr>
          <w:trHeight w:val="315"/>
        </w:trPr>
        <w:tc>
          <w:tcPr>
            <w:tcW w:w="272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r w:rsidRPr="00B936B8">
              <w:rPr>
                <w:rFonts w:eastAsia="Times New Roman" w:cs="Times New Roman"/>
                <w:szCs w:val="24"/>
              </w:rPr>
              <w:t>Appalachian States</w:t>
            </w:r>
          </w:p>
        </w:tc>
        <w:tc>
          <w:tcPr>
            <w:tcW w:w="46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p>
        </w:tc>
        <w:tc>
          <w:tcPr>
            <w:tcW w:w="1080" w:type="dxa"/>
            <w:shd w:val="clear" w:color="auto" w:fill="auto"/>
            <w:noWrap/>
            <w:vAlign w:val="bottom"/>
            <w:hideMark/>
          </w:tcPr>
          <w:p w:rsidR="00A837D3" w:rsidRPr="00B936B8" w:rsidRDefault="00A837D3" w:rsidP="003A68FE">
            <w:pPr>
              <w:spacing w:after="0"/>
              <w:contextualSpacing w:val="0"/>
              <w:jc w:val="right"/>
              <w:rPr>
                <w:rFonts w:eastAsia="Times New Roman" w:cs="Times New Roman"/>
                <w:szCs w:val="24"/>
              </w:rPr>
            </w:pPr>
            <w:r w:rsidRPr="00B936B8">
              <w:rPr>
                <w:rFonts w:eastAsia="Times New Roman" w:cs="Times New Roman"/>
                <w:szCs w:val="24"/>
              </w:rPr>
              <w:t>5.3</w:t>
            </w:r>
          </w:p>
        </w:tc>
        <w:tc>
          <w:tcPr>
            <w:tcW w:w="108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r w:rsidRPr="00B936B8">
              <w:rPr>
                <w:rFonts w:eastAsia="Times New Roman" w:cs="Times New Roman"/>
                <w:szCs w:val="24"/>
              </w:rPr>
              <w:t>µg/L</w:t>
            </w:r>
          </w:p>
        </w:tc>
        <w:tc>
          <w:tcPr>
            <w:tcW w:w="1080" w:type="dxa"/>
            <w:shd w:val="clear" w:color="auto" w:fill="auto"/>
            <w:noWrap/>
            <w:vAlign w:val="bottom"/>
            <w:hideMark/>
          </w:tcPr>
          <w:p w:rsidR="00A837D3" w:rsidRPr="00B936B8" w:rsidRDefault="00A837D3" w:rsidP="003A68FE">
            <w:pPr>
              <w:spacing w:after="0"/>
              <w:contextualSpacing w:val="0"/>
              <w:jc w:val="right"/>
              <w:rPr>
                <w:rFonts w:eastAsia="Times New Roman" w:cs="Times New Roman"/>
                <w:szCs w:val="24"/>
              </w:rPr>
            </w:pPr>
            <w:r w:rsidRPr="00B936B8">
              <w:rPr>
                <w:rFonts w:eastAsia="Times New Roman" w:cs="Times New Roman"/>
                <w:szCs w:val="24"/>
              </w:rPr>
              <w:t>4/30/2008</w:t>
            </w:r>
          </w:p>
        </w:tc>
        <w:tc>
          <w:tcPr>
            <w:tcW w:w="1080" w:type="dxa"/>
            <w:shd w:val="clear" w:color="auto" w:fill="auto"/>
            <w:noWrap/>
            <w:vAlign w:val="bottom"/>
            <w:hideMark/>
          </w:tcPr>
          <w:p w:rsidR="00A837D3" w:rsidRPr="00B936B8" w:rsidRDefault="00040028" w:rsidP="003A68FE">
            <w:pPr>
              <w:spacing w:after="0"/>
              <w:contextualSpacing w:val="0"/>
              <w:jc w:val="right"/>
              <w:rPr>
                <w:rFonts w:eastAsia="Times New Roman" w:cs="Times New Roman"/>
                <w:szCs w:val="24"/>
              </w:rPr>
            </w:pPr>
            <w:r>
              <w:rPr>
                <w:rFonts w:eastAsia="Times New Roman" w:cs="Times New Roman"/>
                <w:szCs w:val="24"/>
              </w:rPr>
              <w:t>GFAA</w:t>
            </w:r>
          </w:p>
        </w:tc>
        <w:tc>
          <w:tcPr>
            <w:tcW w:w="1080" w:type="dxa"/>
            <w:shd w:val="clear" w:color="auto" w:fill="auto"/>
            <w:noWrap/>
            <w:vAlign w:val="bottom"/>
            <w:hideMark/>
          </w:tcPr>
          <w:p w:rsidR="00A837D3" w:rsidRPr="00B936B8" w:rsidRDefault="00A837D3" w:rsidP="003A68FE">
            <w:pPr>
              <w:spacing w:after="0"/>
              <w:contextualSpacing w:val="0"/>
              <w:jc w:val="right"/>
              <w:rPr>
                <w:rFonts w:eastAsia="Times New Roman" w:cs="Times New Roman"/>
                <w:szCs w:val="24"/>
              </w:rPr>
            </w:pPr>
            <w:r w:rsidRPr="00B936B8">
              <w:rPr>
                <w:rFonts w:eastAsia="Times New Roman" w:cs="Times New Roman"/>
                <w:szCs w:val="24"/>
              </w:rPr>
              <w:t>106.0</w:t>
            </w:r>
          </w:p>
        </w:tc>
      </w:tr>
      <w:tr w:rsidR="00A837D3" w:rsidRPr="00B936B8" w:rsidTr="00A837D3">
        <w:trPr>
          <w:trHeight w:val="315"/>
        </w:trPr>
        <w:tc>
          <w:tcPr>
            <w:tcW w:w="272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r w:rsidRPr="00B936B8">
              <w:rPr>
                <w:rFonts w:eastAsia="Times New Roman" w:cs="Times New Roman"/>
                <w:szCs w:val="24"/>
              </w:rPr>
              <w:t>Standard Labs (NEST)</w:t>
            </w:r>
          </w:p>
        </w:tc>
        <w:tc>
          <w:tcPr>
            <w:tcW w:w="46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p>
        </w:tc>
        <w:tc>
          <w:tcPr>
            <w:tcW w:w="1080" w:type="dxa"/>
            <w:shd w:val="clear" w:color="auto" w:fill="auto"/>
            <w:noWrap/>
            <w:vAlign w:val="bottom"/>
            <w:hideMark/>
          </w:tcPr>
          <w:p w:rsidR="00A837D3" w:rsidRPr="00B936B8" w:rsidRDefault="00A837D3" w:rsidP="003A68FE">
            <w:pPr>
              <w:spacing w:after="0"/>
              <w:contextualSpacing w:val="0"/>
              <w:jc w:val="right"/>
              <w:rPr>
                <w:rFonts w:eastAsia="Times New Roman" w:cs="Times New Roman"/>
                <w:szCs w:val="24"/>
              </w:rPr>
            </w:pPr>
            <w:r w:rsidRPr="00B936B8">
              <w:rPr>
                <w:rFonts w:eastAsia="Times New Roman" w:cs="Times New Roman"/>
                <w:szCs w:val="24"/>
              </w:rPr>
              <w:t>5.04</w:t>
            </w:r>
          </w:p>
        </w:tc>
        <w:tc>
          <w:tcPr>
            <w:tcW w:w="108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r w:rsidRPr="00B936B8">
              <w:rPr>
                <w:rFonts w:eastAsia="Times New Roman" w:cs="Times New Roman"/>
                <w:szCs w:val="24"/>
              </w:rPr>
              <w:t>µg/L</w:t>
            </w:r>
          </w:p>
        </w:tc>
        <w:tc>
          <w:tcPr>
            <w:tcW w:w="1080" w:type="dxa"/>
            <w:shd w:val="clear" w:color="auto" w:fill="auto"/>
            <w:noWrap/>
            <w:vAlign w:val="bottom"/>
            <w:hideMark/>
          </w:tcPr>
          <w:p w:rsidR="00A837D3" w:rsidRPr="00B936B8" w:rsidRDefault="00A837D3" w:rsidP="003A68FE">
            <w:pPr>
              <w:spacing w:after="0"/>
              <w:contextualSpacing w:val="0"/>
              <w:jc w:val="right"/>
              <w:rPr>
                <w:rFonts w:eastAsia="Times New Roman" w:cs="Times New Roman"/>
                <w:szCs w:val="24"/>
              </w:rPr>
            </w:pPr>
            <w:r w:rsidRPr="00B936B8">
              <w:rPr>
                <w:rFonts w:eastAsia="Times New Roman" w:cs="Times New Roman"/>
                <w:szCs w:val="24"/>
              </w:rPr>
              <w:t>5/1/2008</w:t>
            </w:r>
          </w:p>
        </w:tc>
        <w:tc>
          <w:tcPr>
            <w:tcW w:w="1080" w:type="dxa"/>
            <w:shd w:val="clear" w:color="auto" w:fill="auto"/>
            <w:noWrap/>
            <w:vAlign w:val="bottom"/>
            <w:hideMark/>
          </w:tcPr>
          <w:p w:rsidR="00A837D3" w:rsidRPr="00B936B8" w:rsidRDefault="00040028" w:rsidP="003A68FE">
            <w:pPr>
              <w:spacing w:after="0"/>
              <w:contextualSpacing w:val="0"/>
              <w:jc w:val="right"/>
              <w:rPr>
                <w:rFonts w:eastAsia="Times New Roman" w:cs="Times New Roman"/>
                <w:szCs w:val="24"/>
              </w:rPr>
            </w:pPr>
            <w:r>
              <w:rPr>
                <w:rFonts w:eastAsia="Times New Roman" w:cs="Times New Roman"/>
                <w:szCs w:val="24"/>
              </w:rPr>
              <w:t>GFAA</w:t>
            </w:r>
          </w:p>
        </w:tc>
        <w:tc>
          <w:tcPr>
            <w:tcW w:w="1080" w:type="dxa"/>
            <w:shd w:val="clear" w:color="auto" w:fill="auto"/>
            <w:noWrap/>
            <w:vAlign w:val="bottom"/>
            <w:hideMark/>
          </w:tcPr>
          <w:p w:rsidR="00A837D3" w:rsidRPr="00B936B8" w:rsidRDefault="00A837D3" w:rsidP="003A68FE">
            <w:pPr>
              <w:spacing w:after="0"/>
              <w:contextualSpacing w:val="0"/>
              <w:jc w:val="right"/>
              <w:rPr>
                <w:rFonts w:eastAsia="Times New Roman" w:cs="Times New Roman"/>
                <w:szCs w:val="24"/>
              </w:rPr>
            </w:pPr>
            <w:r w:rsidRPr="00B936B8">
              <w:rPr>
                <w:rFonts w:eastAsia="Times New Roman" w:cs="Times New Roman"/>
                <w:szCs w:val="24"/>
              </w:rPr>
              <w:t>100.8</w:t>
            </w:r>
          </w:p>
        </w:tc>
      </w:tr>
      <w:tr w:rsidR="00A837D3" w:rsidRPr="00B936B8" w:rsidTr="00A837D3">
        <w:trPr>
          <w:trHeight w:val="315"/>
        </w:trPr>
        <w:tc>
          <w:tcPr>
            <w:tcW w:w="272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r w:rsidRPr="00B936B8">
              <w:rPr>
                <w:rFonts w:eastAsia="Times New Roman" w:cs="Times New Roman"/>
                <w:szCs w:val="24"/>
              </w:rPr>
              <w:t>REI Consultants</w:t>
            </w:r>
          </w:p>
        </w:tc>
        <w:tc>
          <w:tcPr>
            <w:tcW w:w="46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p>
        </w:tc>
        <w:tc>
          <w:tcPr>
            <w:tcW w:w="1080" w:type="dxa"/>
            <w:shd w:val="clear" w:color="auto" w:fill="auto"/>
            <w:noWrap/>
            <w:vAlign w:val="bottom"/>
            <w:hideMark/>
          </w:tcPr>
          <w:p w:rsidR="00A837D3" w:rsidRPr="00B936B8" w:rsidRDefault="00A837D3" w:rsidP="003A68FE">
            <w:pPr>
              <w:spacing w:after="0"/>
              <w:contextualSpacing w:val="0"/>
              <w:jc w:val="right"/>
              <w:rPr>
                <w:rFonts w:eastAsia="Times New Roman" w:cs="Times New Roman"/>
                <w:szCs w:val="24"/>
              </w:rPr>
            </w:pPr>
            <w:r w:rsidRPr="00B936B8">
              <w:rPr>
                <w:rFonts w:eastAsia="Times New Roman" w:cs="Times New Roman"/>
                <w:szCs w:val="24"/>
              </w:rPr>
              <w:t>4.6</w:t>
            </w:r>
          </w:p>
        </w:tc>
        <w:tc>
          <w:tcPr>
            <w:tcW w:w="108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r w:rsidRPr="00B936B8">
              <w:rPr>
                <w:rFonts w:eastAsia="Times New Roman" w:cs="Times New Roman"/>
                <w:szCs w:val="24"/>
              </w:rPr>
              <w:t>µg/L</w:t>
            </w:r>
          </w:p>
        </w:tc>
        <w:tc>
          <w:tcPr>
            <w:tcW w:w="1080" w:type="dxa"/>
            <w:shd w:val="clear" w:color="auto" w:fill="auto"/>
            <w:noWrap/>
            <w:vAlign w:val="bottom"/>
            <w:hideMark/>
          </w:tcPr>
          <w:p w:rsidR="00A837D3" w:rsidRPr="00B936B8" w:rsidRDefault="00A837D3" w:rsidP="003A68FE">
            <w:pPr>
              <w:spacing w:after="0"/>
              <w:contextualSpacing w:val="0"/>
              <w:jc w:val="right"/>
              <w:rPr>
                <w:rFonts w:eastAsia="Times New Roman" w:cs="Times New Roman"/>
                <w:szCs w:val="24"/>
              </w:rPr>
            </w:pPr>
            <w:r w:rsidRPr="00B936B8">
              <w:rPr>
                <w:rFonts w:eastAsia="Times New Roman" w:cs="Times New Roman"/>
                <w:szCs w:val="24"/>
              </w:rPr>
              <w:t>4/23/2008</w:t>
            </w:r>
          </w:p>
        </w:tc>
        <w:tc>
          <w:tcPr>
            <w:tcW w:w="1080" w:type="dxa"/>
            <w:shd w:val="clear" w:color="auto" w:fill="auto"/>
            <w:noWrap/>
            <w:vAlign w:val="bottom"/>
            <w:hideMark/>
          </w:tcPr>
          <w:p w:rsidR="00A837D3" w:rsidRPr="00B936B8" w:rsidRDefault="00040028" w:rsidP="00040028">
            <w:pPr>
              <w:spacing w:after="0"/>
              <w:contextualSpacing w:val="0"/>
              <w:jc w:val="right"/>
              <w:rPr>
                <w:rFonts w:eastAsia="Times New Roman" w:cs="Times New Roman"/>
                <w:szCs w:val="24"/>
              </w:rPr>
            </w:pPr>
            <w:r>
              <w:rPr>
                <w:rFonts w:eastAsia="Times New Roman" w:cs="Times New Roman"/>
                <w:szCs w:val="24"/>
              </w:rPr>
              <w:t>GFAA</w:t>
            </w:r>
          </w:p>
        </w:tc>
        <w:tc>
          <w:tcPr>
            <w:tcW w:w="1080" w:type="dxa"/>
            <w:shd w:val="clear" w:color="auto" w:fill="auto"/>
            <w:noWrap/>
            <w:vAlign w:val="bottom"/>
            <w:hideMark/>
          </w:tcPr>
          <w:p w:rsidR="00A837D3" w:rsidRPr="00B936B8" w:rsidRDefault="00A837D3" w:rsidP="003A68FE">
            <w:pPr>
              <w:spacing w:after="0"/>
              <w:contextualSpacing w:val="0"/>
              <w:jc w:val="right"/>
              <w:rPr>
                <w:rFonts w:eastAsia="Times New Roman" w:cs="Times New Roman"/>
                <w:szCs w:val="24"/>
              </w:rPr>
            </w:pPr>
            <w:r w:rsidRPr="00B936B8">
              <w:rPr>
                <w:rFonts w:eastAsia="Times New Roman" w:cs="Times New Roman"/>
                <w:szCs w:val="24"/>
              </w:rPr>
              <w:t>92.0</w:t>
            </w:r>
          </w:p>
        </w:tc>
      </w:tr>
      <w:tr w:rsidR="00A837D3" w:rsidRPr="00B936B8" w:rsidTr="00A837D3">
        <w:trPr>
          <w:trHeight w:val="315"/>
        </w:trPr>
        <w:tc>
          <w:tcPr>
            <w:tcW w:w="272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r w:rsidRPr="00B936B8">
              <w:rPr>
                <w:rFonts w:eastAsia="Times New Roman" w:cs="Times New Roman"/>
                <w:szCs w:val="24"/>
              </w:rPr>
              <w:t>Sturm Environmental</w:t>
            </w:r>
          </w:p>
        </w:tc>
        <w:tc>
          <w:tcPr>
            <w:tcW w:w="46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p>
        </w:tc>
        <w:tc>
          <w:tcPr>
            <w:tcW w:w="1080" w:type="dxa"/>
            <w:shd w:val="clear" w:color="auto" w:fill="auto"/>
            <w:noWrap/>
            <w:vAlign w:val="bottom"/>
            <w:hideMark/>
          </w:tcPr>
          <w:p w:rsidR="00A837D3" w:rsidRPr="00B936B8" w:rsidRDefault="00A837D3" w:rsidP="003A68FE">
            <w:pPr>
              <w:spacing w:after="0"/>
              <w:contextualSpacing w:val="0"/>
              <w:jc w:val="right"/>
              <w:rPr>
                <w:rFonts w:eastAsia="Times New Roman" w:cs="Times New Roman"/>
                <w:szCs w:val="24"/>
              </w:rPr>
            </w:pPr>
            <w:r w:rsidRPr="00B936B8">
              <w:rPr>
                <w:rFonts w:eastAsia="Times New Roman" w:cs="Times New Roman"/>
                <w:szCs w:val="24"/>
              </w:rPr>
              <w:t>4.5</w:t>
            </w:r>
          </w:p>
        </w:tc>
        <w:tc>
          <w:tcPr>
            <w:tcW w:w="108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r w:rsidRPr="00B936B8">
              <w:rPr>
                <w:rFonts w:eastAsia="Times New Roman" w:cs="Times New Roman"/>
                <w:szCs w:val="24"/>
              </w:rPr>
              <w:t>µg/L</w:t>
            </w:r>
          </w:p>
        </w:tc>
        <w:tc>
          <w:tcPr>
            <w:tcW w:w="1080" w:type="dxa"/>
            <w:shd w:val="clear" w:color="auto" w:fill="auto"/>
            <w:noWrap/>
            <w:vAlign w:val="bottom"/>
            <w:hideMark/>
          </w:tcPr>
          <w:p w:rsidR="00A837D3" w:rsidRPr="00B936B8" w:rsidRDefault="00A837D3" w:rsidP="003A68FE">
            <w:pPr>
              <w:spacing w:after="0"/>
              <w:contextualSpacing w:val="0"/>
              <w:jc w:val="right"/>
              <w:rPr>
                <w:rFonts w:eastAsia="Times New Roman" w:cs="Times New Roman"/>
                <w:szCs w:val="24"/>
              </w:rPr>
            </w:pPr>
            <w:r w:rsidRPr="00B936B8">
              <w:rPr>
                <w:rFonts w:eastAsia="Times New Roman" w:cs="Times New Roman"/>
                <w:szCs w:val="24"/>
              </w:rPr>
              <w:t>4/16/2008</w:t>
            </w:r>
          </w:p>
        </w:tc>
        <w:tc>
          <w:tcPr>
            <w:tcW w:w="1080" w:type="dxa"/>
            <w:shd w:val="clear" w:color="auto" w:fill="auto"/>
            <w:noWrap/>
            <w:vAlign w:val="bottom"/>
            <w:hideMark/>
          </w:tcPr>
          <w:p w:rsidR="00A837D3" w:rsidRPr="00B936B8" w:rsidRDefault="00040028" w:rsidP="003A68FE">
            <w:pPr>
              <w:spacing w:after="0"/>
              <w:contextualSpacing w:val="0"/>
              <w:jc w:val="right"/>
              <w:rPr>
                <w:rFonts w:eastAsia="Times New Roman" w:cs="Times New Roman"/>
                <w:szCs w:val="24"/>
              </w:rPr>
            </w:pPr>
            <w:r>
              <w:rPr>
                <w:rFonts w:eastAsia="Times New Roman" w:cs="Times New Roman"/>
                <w:szCs w:val="24"/>
              </w:rPr>
              <w:t>GFAA</w:t>
            </w:r>
          </w:p>
        </w:tc>
        <w:tc>
          <w:tcPr>
            <w:tcW w:w="1080" w:type="dxa"/>
            <w:shd w:val="clear" w:color="auto" w:fill="auto"/>
            <w:noWrap/>
            <w:vAlign w:val="bottom"/>
            <w:hideMark/>
          </w:tcPr>
          <w:p w:rsidR="00A837D3" w:rsidRPr="00B936B8" w:rsidRDefault="00A837D3" w:rsidP="003A68FE">
            <w:pPr>
              <w:spacing w:after="0"/>
              <w:contextualSpacing w:val="0"/>
              <w:jc w:val="right"/>
              <w:rPr>
                <w:rFonts w:eastAsia="Times New Roman" w:cs="Times New Roman"/>
                <w:szCs w:val="24"/>
              </w:rPr>
            </w:pPr>
            <w:r w:rsidRPr="00B936B8">
              <w:rPr>
                <w:rFonts w:eastAsia="Times New Roman" w:cs="Times New Roman"/>
                <w:szCs w:val="24"/>
              </w:rPr>
              <w:t>90.0</w:t>
            </w:r>
          </w:p>
        </w:tc>
      </w:tr>
      <w:tr w:rsidR="00A837D3" w:rsidRPr="00B936B8" w:rsidTr="00A837D3">
        <w:trPr>
          <w:trHeight w:val="315"/>
        </w:trPr>
        <w:tc>
          <w:tcPr>
            <w:tcW w:w="272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r w:rsidRPr="00B936B8">
              <w:rPr>
                <w:rFonts w:eastAsia="Times New Roman" w:cs="Times New Roman"/>
                <w:szCs w:val="24"/>
              </w:rPr>
              <w:t>Standard Labs (Charleston)</w:t>
            </w:r>
          </w:p>
        </w:tc>
        <w:tc>
          <w:tcPr>
            <w:tcW w:w="46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p>
        </w:tc>
        <w:tc>
          <w:tcPr>
            <w:tcW w:w="1080" w:type="dxa"/>
            <w:shd w:val="clear" w:color="auto" w:fill="auto"/>
            <w:noWrap/>
            <w:vAlign w:val="bottom"/>
            <w:hideMark/>
          </w:tcPr>
          <w:p w:rsidR="00A837D3" w:rsidRPr="00B936B8" w:rsidRDefault="00A837D3" w:rsidP="003A68FE">
            <w:pPr>
              <w:spacing w:after="0"/>
              <w:contextualSpacing w:val="0"/>
              <w:jc w:val="right"/>
              <w:rPr>
                <w:rFonts w:eastAsia="Times New Roman" w:cs="Times New Roman"/>
                <w:szCs w:val="24"/>
              </w:rPr>
            </w:pPr>
            <w:r w:rsidRPr="00B936B8">
              <w:rPr>
                <w:rFonts w:eastAsia="Times New Roman" w:cs="Times New Roman"/>
                <w:szCs w:val="24"/>
              </w:rPr>
              <w:t>5</w:t>
            </w:r>
          </w:p>
        </w:tc>
        <w:tc>
          <w:tcPr>
            <w:tcW w:w="108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r w:rsidRPr="00B936B8">
              <w:rPr>
                <w:rFonts w:eastAsia="Times New Roman" w:cs="Times New Roman"/>
                <w:szCs w:val="24"/>
              </w:rPr>
              <w:t>µg/L</w:t>
            </w:r>
          </w:p>
        </w:tc>
        <w:tc>
          <w:tcPr>
            <w:tcW w:w="1080" w:type="dxa"/>
            <w:shd w:val="clear" w:color="auto" w:fill="auto"/>
            <w:noWrap/>
            <w:vAlign w:val="bottom"/>
            <w:hideMark/>
          </w:tcPr>
          <w:p w:rsidR="00A837D3" w:rsidRPr="00B936B8" w:rsidRDefault="00A837D3" w:rsidP="003A68FE">
            <w:pPr>
              <w:spacing w:after="0"/>
              <w:contextualSpacing w:val="0"/>
              <w:jc w:val="right"/>
              <w:rPr>
                <w:rFonts w:eastAsia="Times New Roman" w:cs="Times New Roman"/>
                <w:szCs w:val="24"/>
              </w:rPr>
            </w:pPr>
            <w:r w:rsidRPr="00B936B8">
              <w:rPr>
                <w:rFonts w:eastAsia="Times New Roman" w:cs="Times New Roman"/>
                <w:szCs w:val="24"/>
              </w:rPr>
              <w:t>4/21/2008</w:t>
            </w:r>
          </w:p>
        </w:tc>
        <w:tc>
          <w:tcPr>
            <w:tcW w:w="1080" w:type="dxa"/>
            <w:shd w:val="clear" w:color="auto" w:fill="auto"/>
            <w:noWrap/>
            <w:vAlign w:val="bottom"/>
            <w:hideMark/>
          </w:tcPr>
          <w:p w:rsidR="00A837D3" w:rsidRPr="00B936B8" w:rsidRDefault="00040028" w:rsidP="003A68FE">
            <w:pPr>
              <w:spacing w:after="0"/>
              <w:contextualSpacing w:val="0"/>
              <w:jc w:val="right"/>
              <w:rPr>
                <w:rFonts w:eastAsia="Times New Roman" w:cs="Times New Roman"/>
                <w:szCs w:val="24"/>
              </w:rPr>
            </w:pPr>
            <w:r>
              <w:rPr>
                <w:rFonts w:eastAsia="Times New Roman" w:cs="Times New Roman"/>
                <w:szCs w:val="24"/>
              </w:rPr>
              <w:t>GFAA</w:t>
            </w:r>
          </w:p>
        </w:tc>
        <w:tc>
          <w:tcPr>
            <w:tcW w:w="1080" w:type="dxa"/>
            <w:shd w:val="clear" w:color="auto" w:fill="auto"/>
            <w:noWrap/>
            <w:vAlign w:val="bottom"/>
            <w:hideMark/>
          </w:tcPr>
          <w:p w:rsidR="00A837D3" w:rsidRPr="00B936B8" w:rsidRDefault="00A837D3" w:rsidP="003A68FE">
            <w:pPr>
              <w:spacing w:after="0"/>
              <w:contextualSpacing w:val="0"/>
              <w:jc w:val="right"/>
              <w:rPr>
                <w:rFonts w:eastAsia="Times New Roman" w:cs="Times New Roman"/>
                <w:szCs w:val="24"/>
              </w:rPr>
            </w:pPr>
            <w:r w:rsidRPr="00B936B8">
              <w:rPr>
                <w:rFonts w:eastAsia="Times New Roman" w:cs="Times New Roman"/>
                <w:szCs w:val="24"/>
              </w:rPr>
              <w:t>100.0</w:t>
            </w:r>
          </w:p>
        </w:tc>
      </w:tr>
      <w:tr w:rsidR="00A837D3" w:rsidRPr="00B936B8" w:rsidTr="00A837D3">
        <w:trPr>
          <w:trHeight w:val="315"/>
        </w:trPr>
        <w:tc>
          <w:tcPr>
            <w:tcW w:w="272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r w:rsidRPr="00B936B8">
              <w:rPr>
                <w:rFonts w:eastAsia="Times New Roman" w:cs="Times New Roman"/>
                <w:szCs w:val="24"/>
              </w:rPr>
              <w:t>Compliance Monitoring</w:t>
            </w:r>
          </w:p>
        </w:tc>
        <w:tc>
          <w:tcPr>
            <w:tcW w:w="46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p>
        </w:tc>
        <w:tc>
          <w:tcPr>
            <w:tcW w:w="1080" w:type="dxa"/>
            <w:shd w:val="clear" w:color="auto" w:fill="auto"/>
            <w:noWrap/>
            <w:vAlign w:val="bottom"/>
            <w:hideMark/>
          </w:tcPr>
          <w:p w:rsidR="00A837D3" w:rsidRPr="00B936B8" w:rsidRDefault="00A837D3" w:rsidP="003A68FE">
            <w:pPr>
              <w:spacing w:after="0"/>
              <w:contextualSpacing w:val="0"/>
              <w:jc w:val="right"/>
              <w:rPr>
                <w:rFonts w:eastAsia="Times New Roman" w:cs="Times New Roman"/>
                <w:szCs w:val="24"/>
              </w:rPr>
            </w:pPr>
            <w:r w:rsidRPr="00B936B8">
              <w:rPr>
                <w:rFonts w:eastAsia="Times New Roman" w:cs="Times New Roman"/>
                <w:szCs w:val="24"/>
              </w:rPr>
              <w:t>4.42</w:t>
            </w:r>
          </w:p>
        </w:tc>
        <w:tc>
          <w:tcPr>
            <w:tcW w:w="108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r w:rsidRPr="00B936B8">
              <w:rPr>
                <w:rFonts w:eastAsia="Times New Roman" w:cs="Times New Roman"/>
                <w:szCs w:val="24"/>
              </w:rPr>
              <w:t>µg/L</w:t>
            </w:r>
          </w:p>
        </w:tc>
        <w:tc>
          <w:tcPr>
            <w:tcW w:w="1080" w:type="dxa"/>
            <w:shd w:val="clear" w:color="auto" w:fill="auto"/>
            <w:noWrap/>
            <w:vAlign w:val="bottom"/>
            <w:hideMark/>
          </w:tcPr>
          <w:p w:rsidR="00A837D3" w:rsidRPr="00B936B8" w:rsidRDefault="00A837D3" w:rsidP="003A68FE">
            <w:pPr>
              <w:spacing w:after="0"/>
              <w:contextualSpacing w:val="0"/>
              <w:jc w:val="right"/>
              <w:rPr>
                <w:rFonts w:eastAsia="Times New Roman" w:cs="Times New Roman"/>
                <w:szCs w:val="24"/>
              </w:rPr>
            </w:pPr>
            <w:r w:rsidRPr="00B936B8">
              <w:rPr>
                <w:rFonts w:eastAsia="Times New Roman" w:cs="Times New Roman"/>
                <w:szCs w:val="24"/>
              </w:rPr>
              <w:t>4/22/2008</w:t>
            </w:r>
          </w:p>
        </w:tc>
        <w:tc>
          <w:tcPr>
            <w:tcW w:w="1080" w:type="dxa"/>
            <w:shd w:val="clear" w:color="auto" w:fill="auto"/>
            <w:noWrap/>
            <w:vAlign w:val="bottom"/>
            <w:hideMark/>
          </w:tcPr>
          <w:p w:rsidR="00A837D3" w:rsidRPr="00B936B8" w:rsidRDefault="00040028" w:rsidP="003A68FE">
            <w:pPr>
              <w:spacing w:after="0"/>
              <w:contextualSpacing w:val="0"/>
              <w:jc w:val="right"/>
              <w:rPr>
                <w:rFonts w:eastAsia="Times New Roman" w:cs="Times New Roman"/>
                <w:szCs w:val="24"/>
              </w:rPr>
            </w:pPr>
            <w:r>
              <w:rPr>
                <w:rFonts w:eastAsia="Times New Roman" w:cs="Times New Roman"/>
                <w:szCs w:val="24"/>
              </w:rPr>
              <w:t>GFAA</w:t>
            </w:r>
          </w:p>
        </w:tc>
        <w:tc>
          <w:tcPr>
            <w:tcW w:w="1080" w:type="dxa"/>
            <w:shd w:val="clear" w:color="auto" w:fill="auto"/>
            <w:noWrap/>
            <w:vAlign w:val="bottom"/>
            <w:hideMark/>
          </w:tcPr>
          <w:p w:rsidR="00A837D3" w:rsidRPr="00B936B8" w:rsidRDefault="00A837D3" w:rsidP="003A68FE">
            <w:pPr>
              <w:spacing w:after="0"/>
              <w:contextualSpacing w:val="0"/>
              <w:jc w:val="right"/>
              <w:rPr>
                <w:rFonts w:eastAsia="Times New Roman" w:cs="Times New Roman"/>
                <w:szCs w:val="24"/>
              </w:rPr>
            </w:pPr>
            <w:r w:rsidRPr="00B936B8">
              <w:rPr>
                <w:rFonts w:eastAsia="Times New Roman" w:cs="Times New Roman"/>
                <w:szCs w:val="24"/>
              </w:rPr>
              <w:t>88.4</w:t>
            </w:r>
          </w:p>
        </w:tc>
      </w:tr>
      <w:tr w:rsidR="00A837D3" w:rsidRPr="00B936B8" w:rsidTr="00A837D3">
        <w:trPr>
          <w:trHeight w:val="315"/>
        </w:trPr>
        <w:tc>
          <w:tcPr>
            <w:tcW w:w="272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r w:rsidRPr="00B936B8">
              <w:rPr>
                <w:rFonts w:eastAsia="Times New Roman" w:cs="Times New Roman"/>
                <w:szCs w:val="24"/>
              </w:rPr>
              <w:t>SGS</w:t>
            </w:r>
          </w:p>
        </w:tc>
        <w:tc>
          <w:tcPr>
            <w:tcW w:w="46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p>
        </w:tc>
        <w:tc>
          <w:tcPr>
            <w:tcW w:w="1080" w:type="dxa"/>
            <w:shd w:val="clear" w:color="auto" w:fill="auto"/>
            <w:noWrap/>
            <w:vAlign w:val="bottom"/>
            <w:hideMark/>
          </w:tcPr>
          <w:p w:rsidR="00A837D3" w:rsidRPr="00B936B8" w:rsidRDefault="00A837D3" w:rsidP="003A68FE">
            <w:pPr>
              <w:spacing w:after="0"/>
              <w:contextualSpacing w:val="0"/>
              <w:jc w:val="right"/>
              <w:rPr>
                <w:rFonts w:eastAsia="Times New Roman" w:cs="Times New Roman"/>
                <w:szCs w:val="24"/>
              </w:rPr>
            </w:pPr>
            <w:r w:rsidRPr="00B936B8">
              <w:rPr>
                <w:rFonts w:eastAsia="Times New Roman" w:cs="Times New Roman"/>
                <w:szCs w:val="24"/>
              </w:rPr>
              <w:t>5</w:t>
            </w:r>
          </w:p>
        </w:tc>
        <w:tc>
          <w:tcPr>
            <w:tcW w:w="108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r w:rsidRPr="00B936B8">
              <w:rPr>
                <w:rFonts w:eastAsia="Times New Roman" w:cs="Times New Roman"/>
                <w:szCs w:val="24"/>
              </w:rPr>
              <w:t>µg/L</w:t>
            </w:r>
          </w:p>
        </w:tc>
        <w:tc>
          <w:tcPr>
            <w:tcW w:w="1080" w:type="dxa"/>
            <w:shd w:val="clear" w:color="auto" w:fill="auto"/>
            <w:noWrap/>
            <w:vAlign w:val="bottom"/>
            <w:hideMark/>
          </w:tcPr>
          <w:p w:rsidR="00A837D3" w:rsidRPr="00B936B8" w:rsidRDefault="00A837D3" w:rsidP="003A68FE">
            <w:pPr>
              <w:spacing w:after="0"/>
              <w:contextualSpacing w:val="0"/>
              <w:jc w:val="right"/>
              <w:rPr>
                <w:rFonts w:eastAsia="Times New Roman" w:cs="Times New Roman"/>
                <w:szCs w:val="24"/>
              </w:rPr>
            </w:pPr>
            <w:r w:rsidRPr="00B936B8">
              <w:rPr>
                <w:rFonts w:eastAsia="Times New Roman" w:cs="Times New Roman"/>
                <w:szCs w:val="24"/>
              </w:rPr>
              <w:t>4/17/2008</w:t>
            </w:r>
          </w:p>
        </w:tc>
        <w:tc>
          <w:tcPr>
            <w:tcW w:w="1080" w:type="dxa"/>
            <w:shd w:val="clear" w:color="auto" w:fill="auto"/>
            <w:noWrap/>
            <w:vAlign w:val="bottom"/>
            <w:hideMark/>
          </w:tcPr>
          <w:p w:rsidR="00A837D3" w:rsidRPr="00B936B8" w:rsidRDefault="00040028" w:rsidP="003A68FE">
            <w:pPr>
              <w:spacing w:after="0"/>
              <w:contextualSpacing w:val="0"/>
              <w:jc w:val="right"/>
              <w:rPr>
                <w:rFonts w:eastAsia="Times New Roman" w:cs="Times New Roman"/>
                <w:szCs w:val="24"/>
              </w:rPr>
            </w:pPr>
            <w:r>
              <w:rPr>
                <w:rFonts w:eastAsia="Times New Roman" w:cs="Times New Roman"/>
                <w:szCs w:val="24"/>
              </w:rPr>
              <w:t>GFAA</w:t>
            </w:r>
          </w:p>
        </w:tc>
        <w:tc>
          <w:tcPr>
            <w:tcW w:w="1080" w:type="dxa"/>
            <w:shd w:val="clear" w:color="auto" w:fill="auto"/>
            <w:noWrap/>
            <w:vAlign w:val="bottom"/>
            <w:hideMark/>
          </w:tcPr>
          <w:p w:rsidR="00A837D3" w:rsidRPr="00B936B8" w:rsidRDefault="00A837D3" w:rsidP="003A68FE">
            <w:pPr>
              <w:spacing w:after="0"/>
              <w:contextualSpacing w:val="0"/>
              <w:jc w:val="right"/>
              <w:rPr>
                <w:rFonts w:eastAsia="Times New Roman" w:cs="Times New Roman"/>
                <w:szCs w:val="24"/>
              </w:rPr>
            </w:pPr>
            <w:r w:rsidRPr="00B936B8">
              <w:rPr>
                <w:rFonts w:eastAsia="Times New Roman" w:cs="Times New Roman"/>
                <w:szCs w:val="24"/>
              </w:rPr>
              <w:t>100.0</w:t>
            </w:r>
          </w:p>
        </w:tc>
      </w:tr>
      <w:tr w:rsidR="00A837D3" w:rsidRPr="00B936B8" w:rsidTr="00A837D3">
        <w:trPr>
          <w:trHeight w:val="315"/>
        </w:trPr>
        <w:tc>
          <w:tcPr>
            <w:tcW w:w="272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r w:rsidRPr="00B936B8">
              <w:rPr>
                <w:rFonts w:eastAsia="Times New Roman" w:cs="Times New Roman"/>
                <w:szCs w:val="24"/>
              </w:rPr>
              <w:t>American Elec. Power</w:t>
            </w:r>
          </w:p>
        </w:tc>
        <w:tc>
          <w:tcPr>
            <w:tcW w:w="46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p>
        </w:tc>
        <w:tc>
          <w:tcPr>
            <w:tcW w:w="1080" w:type="dxa"/>
            <w:shd w:val="clear" w:color="auto" w:fill="auto"/>
            <w:noWrap/>
            <w:vAlign w:val="bottom"/>
            <w:hideMark/>
          </w:tcPr>
          <w:p w:rsidR="00A837D3" w:rsidRPr="00B936B8" w:rsidRDefault="00A837D3" w:rsidP="003A68FE">
            <w:pPr>
              <w:spacing w:after="0"/>
              <w:contextualSpacing w:val="0"/>
              <w:jc w:val="right"/>
              <w:rPr>
                <w:rFonts w:eastAsia="Times New Roman" w:cs="Times New Roman"/>
                <w:szCs w:val="24"/>
              </w:rPr>
            </w:pPr>
            <w:r w:rsidRPr="00B936B8">
              <w:rPr>
                <w:rFonts w:eastAsia="Times New Roman" w:cs="Times New Roman"/>
                <w:szCs w:val="24"/>
              </w:rPr>
              <w:t>4.4</w:t>
            </w:r>
          </w:p>
        </w:tc>
        <w:tc>
          <w:tcPr>
            <w:tcW w:w="108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r w:rsidRPr="00B936B8">
              <w:rPr>
                <w:rFonts w:eastAsia="Times New Roman" w:cs="Times New Roman"/>
                <w:szCs w:val="24"/>
              </w:rPr>
              <w:t>µg/L</w:t>
            </w:r>
          </w:p>
        </w:tc>
        <w:tc>
          <w:tcPr>
            <w:tcW w:w="1080" w:type="dxa"/>
            <w:shd w:val="clear" w:color="auto" w:fill="auto"/>
            <w:noWrap/>
            <w:vAlign w:val="bottom"/>
            <w:hideMark/>
          </w:tcPr>
          <w:p w:rsidR="00A837D3" w:rsidRPr="00B936B8" w:rsidRDefault="00A837D3" w:rsidP="003A68FE">
            <w:pPr>
              <w:spacing w:after="0"/>
              <w:contextualSpacing w:val="0"/>
              <w:jc w:val="right"/>
              <w:rPr>
                <w:rFonts w:eastAsia="Times New Roman" w:cs="Times New Roman"/>
                <w:szCs w:val="24"/>
              </w:rPr>
            </w:pPr>
            <w:r w:rsidRPr="00B936B8">
              <w:rPr>
                <w:rFonts w:eastAsia="Times New Roman" w:cs="Times New Roman"/>
                <w:szCs w:val="24"/>
              </w:rPr>
              <w:t>5/12/2008</w:t>
            </w:r>
          </w:p>
        </w:tc>
        <w:tc>
          <w:tcPr>
            <w:tcW w:w="1080" w:type="dxa"/>
            <w:shd w:val="clear" w:color="auto" w:fill="auto"/>
            <w:noWrap/>
            <w:vAlign w:val="bottom"/>
            <w:hideMark/>
          </w:tcPr>
          <w:p w:rsidR="00A837D3" w:rsidRPr="00B936B8" w:rsidRDefault="00040028" w:rsidP="003A68FE">
            <w:pPr>
              <w:spacing w:after="0"/>
              <w:contextualSpacing w:val="0"/>
              <w:jc w:val="right"/>
              <w:rPr>
                <w:rFonts w:eastAsia="Times New Roman" w:cs="Times New Roman"/>
                <w:szCs w:val="24"/>
              </w:rPr>
            </w:pPr>
            <w:r>
              <w:rPr>
                <w:rFonts w:eastAsia="Times New Roman" w:cs="Times New Roman"/>
                <w:szCs w:val="24"/>
              </w:rPr>
              <w:t>ICP-MS</w:t>
            </w:r>
          </w:p>
        </w:tc>
        <w:tc>
          <w:tcPr>
            <w:tcW w:w="1080" w:type="dxa"/>
            <w:shd w:val="clear" w:color="auto" w:fill="auto"/>
            <w:noWrap/>
            <w:vAlign w:val="bottom"/>
            <w:hideMark/>
          </w:tcPr>
          <w:p w:rsidR="00A837D3" w:rsidRPr="00B936B8" w:rsidRDefault="00A837D3" w:rsidP="003A68FE">
            <w:pPr>
              <w:spacing w:after="0"/>
              <w:contextualSpacing w:val="0"/>
              <w:jc w:val="right"/>
              <w:rPr>
                <w:rFonts w:eastAsia="Times New Roman" w:cs="Times New Roman"/>
                <w:szCs w:val="24"/>
              </w:rPr>
            </w:pPr>
            <w:r w:rsidRPr="00B936B8">
              <w:rPr>
                <w:rFonts w:eastAsia="Times New Roman" w:cs="Times New Roman"/>
                <w:szCs w:val="24"/>
              </w:rPr>
              <w:t>88.0</w:t>
            </w:r>
          </w:p>
        </w:tc>
      </w:tr>
      <w:tr w:rsidR="00A837D3" w:rsidRPr="00B936B8" w:rsidTr="00A837D3">
        <w:trPr>
          <w:trHeight w:val="315"/>
        </w:trPr>
        <w:tc>
          <w:tcPr>
            <w:tcW w:w="272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p>
        </w:tc>
        <w:tc>
          <w:tcPr>
            <w:tcW w:w="46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p>
        </w:tc>
        <w:tc>
          <w:tcPr>
            <w:tcW w:w="108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p>
        </w:tc>
        <w:tc>
          <w:tcPr>
            <w:tcW w:w="108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p>
        </w:tc>
        <w:tc>
          <w:tcPr>
            <w:tcW w:w="108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p>
        </w:tc>
        <w:tc>
          <w:tcPr>
            <w:tcW w:w="108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p>
        </w:tc>
        <w:tc>
          <w:tcPr>
            <w:tcW w:w="108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p>
        </w:tc>
      </w:tr>
      <w:tr w:rsidR="00A837D3" w:rsidRPr="00B936B8" w:rsidTr="00A837D3">
        <w:trPr>
          <w:trHeight w:val="315"/>
        </w:trPr>
        <w:tc>
          <w:tcPr>
            <w:tcW w:w="272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r w:rsidRPr="00B936B8">
              <w:rPr>
                <w:rFonts w:eastAsia="Times New Roman" w:cs="Times New Roman"/>
                <w:szCs w:val="24"/>
              </w:rPr>
              <w:t>Average, All data</w:t>
            </w:r>
          </w:p>
        </w:tc>
        <w:tc>
          <w:tcPr>
            <w:tcW w:w="46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p>
        </w:tc>
        <w:tc>
          <w:tcPr>
            <w:tcW w:w="1080" w:type="dxa"/>
            <w:shd w:val="clear" w:color="auto" w:fill="auto"/>
            <w:noWrap/>
            <w:vAlign w:val="bottom"/>
            <w:hideMark/>
          </w:tcPr>
          <w:p w:rsidR="00A837D3" w:rsidRPr="00B936B8" w:rsidRDefault="00A837D3" w:rsidP="003A68FE">
            <w:pPr>
              <w:spacing w:after="0"/>
              <w:contextualSpacing w:val="0"/>
              <w:jc w:val="right"/>
              <w:rPr>
                <w:rFonts w:eastAsia="Times New Roman" w:cs="Times New Roman"/>
                <w:szCs w:val="24"/>
              </w:rPr>
            </w:pPr>
            <w:r w:rsidRPr="00B936B8">
              <w:rPr>
                <w:rFonts w:eastAsia="Times New Roman" w:cs="Times New Roman"/>
                <w:szCs w:val="24"/>
              </w:rPr>
              <w:t>4.5</w:t>
            </w:r>
          </w:p>
        </w:tc>
        <w:tc>
          <w:tcPr>
            <w:tcW w:w="108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p>
        </w:tc>
        <w:tc>
          <w:tcPr>
            <w:tcW w:w="108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p>
        </w:tc>
        <w:tc>
          <w:tcPr>
            <w:tcW w:w="108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p>
        </w:tc>
        <w:tc>
          <w:tcPr>
            <w:tcW w:w="1080" w:type="dxa"/>
            <w:shd w:val="clear" w:color="auto" w:fill="auto"/>
            <w:noWrap/>
            <w:vAlign w:val="bottom"/>
            <w:hideMark/>
          </w:tcPr>
          <w:p w:rsidR="00A837D3" w:rsidRPr="00B936B8" w:rsidRDefault="00A837D3" w:rsidP="003A68FE">
            <w:pPr>
              <w:spacing w:after="0"/>
              <w:contextualSpacing w:val="0"/>
              <w:jc w:val="right"/>
              <w:rPr>
                <w:rFonts w:eastAsia="Times New Roman" w:cs="Times New Roman"/>
                <w:szCs w:val="24"/>
              </w:rPr>
            </w:pPr>
            <w:r w:rsidRPr="00B936B8">
              <w:rPr>
                <w:rFonts w:eastAsia="Times New Roman" w:cs="Times New Roman"/>
                <w:szCs w:val="24"/>
              </w:rPr>
              <w:t>90.3</w:t>
            </w:r>
          </w:p>
        </w:tc>
      </w:tr>
      <w:tr w:rsidR="00A837D3" w:rsidRPr="00B936B8" w:rsidTr="00A837D3">
        <w:trPr>
          <w:trHeight w:val="315"/>
        </w:trPr>
        <w:tc>
          <w:tcPr>
            <w:tcW w:w="272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r w:rsidRPr="00B936B8">
              <w:rPr>
                <w:rFonts w:eastAsia="Times New Roman" w:cs="Times New Roman"/>
                <w:szCs w:val="24"/>
              </w:rPr>
              <w:t>Average, GFAA</w:t>
            </w:r>
          </w:p>
        </w:tc>
        <w:tc>
          <w:tcPr>
            <w:tcW w:w="46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p>
        </w:tc>
        <w:tc>
          <w:tcPr>
            <w:tcW w:w="1080" w:type="dxa"/>
            <w:shd w:val="clear" w:color="auto" w:fill="auto"/>
            <w:noWrap/>
            <w:vAlign w:val="bottom"/>
            <w:hideMark/>
          </w:tcPr>
          <w:p w:rsidR="00A837D3" w:rsidRPr="00B936B8" w:rsidRDefault="00A837D3" w:rsidP="003A68FE">
            <w:pPr>
              <w:spacing w:after="0"/>
              <w:contextualSpacing w:val="0"/>
              <w:jc w:val="right"/>
              <w:rPr>
                <w:rFonts w:eastAsia="Times New Roman" w:cs="Times New Roman"/>
                <w:szCs w:val="24"/>
              </w:rPr>
            </w:pPr>
            <w:r w:rsidRPr="00B936B8">
              <w:rPr>
                <w:rFonts w:eastAsia="Times New Roman" w:cs="Times New Roman"/>
                <w:szCs w:val="24"/>
              </w:rPr>
              <w:t>4.5</w:t>
            </w:r>
          </w:p>
        </w:tc>
        <w:tc>
          <w:tcPr>
            <w:tcW w:w="108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p>
        </w:tc>
        <w:tc>
          <w:tcPr>
            <w:tcW w:w="108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p>
        </w:tc>
        <w:tc>
          <w:tcPr>
            <w:tcW w:w="108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p>
        </w:tc>
        <w:tc>
          <w:tcPr>
            <w:tcW w:w="1080" w:type="dxa"/>
            <w:shd w:val="clear" w:color="auto" w:fill="auto"/>
            <w:noWrap/>
            <w:vAlign w:val="bottom"/>
            <w:hideMark/>
          </w:tcPr>
          <w:p w:rsidR="00A837D3" w:rsidRPr="00B936B8" w:rsidRDefault="00A837D3" w:rsidP="003A68FE">
            <w:pPr>
              <w:spacing w:after="0"/>
              <w:contextualSpacing w:val="0"/>
              <w:jc w:val="right"/>
              <w:rPr>
                <w:rFonts w:eastAsia="Times New Roman" w:cs="Times New Roman"/>
                <w:szCs w:val="24"/>
              </w:rPr>
            </w:pPr>
            <w:r w:rsidRPr="00B936B8">
              <w:rPr>
                <w:rFonts w:eastAsia="Times New Roman" w:cs="Times New Roman"/>
                <w:szCs w:val="24"/>
              </w:rPr>
              <w:t>90.6</w:t>
            </w:r>
          </w:p>
        </w:tc>
      </w:tr>
      <w:tr w:rsidR="00A837D3" w:rsidRPr="00B936B8" w:rsidTr="00A837D3">
        <w:trPr>
          <w:trHeight w:val="315"/>
        </w:trPr>
        <w:tc>
          <w:tcPr>
            <w:tcW w:w="272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r w:rsidRPr="00B936B8">
              <w:rPr>
                <w:rFonts w:eastAsia="Times New Roman" w:cs="Times New Roman"/>
                <w:szCs w:val="24"/>
              </w:rPr>
              <w:t>Average ICP/MS</w:t>
            </w:r>
          </w:p>
        </w:tc>
        <w:tc>
          <w:tcPr>
            <w:tcW w:w="46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p>
        </w:tc>
        <w:tc>
          <w:tcPr>
            <w:tcW w:w="1080" w:type="dxa"/>
            <w:shd w:val="clear" w:color="auto" w:fill="auto"/>
            <w:noWrap/>
            <w:vAlign w:val="bottom"/>
            <w:hideMark/>
          </w:tcPr>
          <w:p w:rsidR="00A837D3" w:rsidRPr="00B936B8" w:rsidRDefault="00A837D3" w:rsidP="003A68FE">
            <w:pPr>
              <w:spacing w:after="0"/>
              <w:contextualSpacing w:val="0"/>
              <w:jc w:val="right"/>
              <w:rPr>
                <w:rFonts w:eastAsia="Times New Roman" w:cs="Times New Roman"/>
                <w:szCs w:val="24"/>
              </w:rPr>
            </w:pPr>
            <w:r w:rsidRPr="00B936B8">
              <w:rPr>
                <w:rFonts w:eastAsia="Times New Roman" w:cs="Times New Roman"/>
                <w:szCs w:val="24"/>
              </w:rPr>
              <w:t>4.4</w:t>
            </w:r>
          </w:p>
        </w:tc>
        <w:tc>
          <w:tcPr>
            <w:tcW w:w="108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p>
        </w:tc>
        <w:tc>
          <w:tcPr>
            <w:tcW w:w="108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p>
        </w:tc>
        <w:tc>
          <w:tcPr>
            <w:tcW w:w="1080" w:type="dxa"/>
            <w:shd w:val="clear" w:color="auto" w:fill="auto"/>
            <w:noWrap/>
            <w:vAlign w:val="bottom"/>
            <w:hideMark/>
          </w:tcPr>
          <w:p w:rsidR="00A837D3" w:rsidRPr="00B936B8" w:rsidRDefault="00A837D3" w:rsidP="003A68FE">
            <w:pPr>
              <w:spacing w:after="0"/>
              <w:contextualSpacing w:val="0"/>
              <w:rPr>
                <w:rFonts w:eastAsia="Times New Roman" w:cs="Times New Roman"/>
                <w:szCs w:val="24"/>
              </w:rPr>
            </w:pPr>
          </w:p>
        </w:tc>
        <w:tc>
          <w:tcPr>
            <w:tcW w:w="1080" w:type="dxa"/>
            <w:shd w:val="clear" w:color="auto" w:fill="auto"/>
            <w:noWrap/>
            <w:vAlign w:val="bottom"/>
            <w:hideMark/>
          </w:tcPr>
          <w:p w:rsidR="00A837D3" w:rsidRPr="00B936B8" w:rsidRDefault="00A837D3" w:rsidP="003A68FE">
            <w:pPr>
              <w:spacing w:after="0"/>
              <w:contextualSpacing w:val="0"/>
              <w:jc w:val="right"/>
              <w:rPr>
                <w:rFonts w:eastAsia="Times New Roman" w:cs="Times New Roman"/>
                <w:szCs w:val="24"/>
              </w:rPr>
            </w:pPr>
            <w:r w:rsidRPr="00B936B8">
              <w:rPr>
                <w:rFonts w:eastAsia="Times New Roman" w:cs="Times New Roman"/>
                <w:szCs w:val="24"/>
              </w:rPr>
              <w:t>88.0</w:t>
            </w:r>
          </w:p>
        </w:tc>
      </w:tr>
    </w:tbl>
    <w:p w:rsidR="00A837D3" w:rsidRDefault="00A837D3" w:rsidP="003A68FE">
      <w:pPr>
        <w:spacing w:after="0"/>
      </w:pPr>
    </w:p>
    <w:p w:rsidR="00A837D3" w:rsidRDefault="00A837D3" w:rsidP="00A837D3"/>
    <w:p w:rsidR="00A837D3" w:rsidRDefault="00A837D3" w:rsidP="00F30B1D">
      <w:pPr>
        <w:spacing w:line="276" w:lineRule="auto"/>
      </w:pPr>
      <w:r>
        <w:t xml:space="preserve">With only one data point </w:t>
      </w:r>
      <w:r w:rsidR="005B7C9D">
        <w:t xml:space="preserve">above the MDL </w:t>
      </w:r>
      <w:r>
        <w:t>available for assessment of ICP/MS data</w:t>
      </w:r>
      <w:r w:rsidR="00040028">
        <w:t>,</w:t>
      </w:r>
      <w:r>
        <w:t xml:space="preserve"> no definite findings can be presented with respect to ICP/MS, however, one can still see that a high bias is not presented with this technique by the one laboratory reporting for this technique with a result above the MDL.  </w:t>
      </w:r>
      <w:r w:rsidR="00B424B7">
        <w:t xml:space="preserve">On the contrary, one could conclude a low bias since one of the labs did not detect the Se in the sample. </w:t>
      </w:r>
      <w:r>
        <w:t xml:space="preserve"> The median value reported by GFAA for Se was 4.</w:t>
      </w:r>
      <w:r w:rsidR="00902DC1">
        <w:t>5</w:t>
      </w:r>
      <w:r>
        <w:t xml:space="preserve"> µg/L</w:t>
      </w:r>
      <w:r w:rsidR="007407E5">
        <w:t>,</w:t>
      </w:r>
      <w:r>
        <w:t xml:space="preserve"> which </w:t>
      </w:r>
      <w:r w:rsidR="00902DC1">
        <w:t>is</w:t>
      </w:r>
      <w:r>
        <w:t xml:space="preserve"> a </w:t>
      </w:r>
      <w:r w:rsidR="00F4161B">
        <w:t>9</w:t>
      </w:r>
      <w:r w:rsidR="00902DC1">
        <w:t xml:space="preserve">0.6 </w:t>
      </w:r>
      <w:r>
        <w:t xml:space="preserve">% recovery of the </w:t>
      </w:r>
      <w:r w:rsidR="00902DC1">
        <w:t>known</w:t>
      </w:r>
      <w:r>
        <w:t xml:space="preserve"> concentration</w:t>
      </w:r>
      <w:r w:rsidR="00902DC1">
        <w:t xml:space="preserve"> for the sample</w:t>
      </w:r>
      <w:r>
        <w:t>.  When one considers the MDL for this element is in the 1 to 2 µg/L range, 4.</w:t>
      </w:r>
      <w:r w:rsidR="00902DC1">
        <w:t>5</w:t>
      </w:r>
      <w:r>
        <w:t xml:space="preserve"> µg/L is indistinguishable from 5.0 µg/L </w:t>
      </w:r>
      <w:r w:rsidR="00F510DE">
        <w:t>when analyzed by GFAA.  In this phase of this study the result reported by ICP/MS was 4.4 µg/L, which is also indistinguishable from 5.0 µg/L due to the MDL.</w:t>
      </w:r>
      <w:r>
        <w:t xml:space="preserve">  </w:t>
      </w:r>
    </w:p>
    <w:p w:rsidR="00A837D3" w:rsidRDefault="00A837D3" w:rsidP="00A837D3"/>
    <w:p w:rsidR="00A837D3" w:rsidRDefault="00A837D3" w:rsidP="00A837D3"/>
    <w:p w:rsidR="00A837D3" w:rsidRDefault="00A837D3" w:rsidP="00A837D3"/>
    <w:p w:rsidR="00A837D3" w:rsidRDefault="00A837D3" w:rsidP="00A837D3"/>
    <w:p w:rsidR="00A837D3" w:rsidRDefault="00A837D3" w:rsidP="00A837D3"/>
    <w:p w:rsidR="00A837D3" w:rsidRDefault="00A837D3" w:rsidP="00A837D3"/>
    <w:p w:rsidR="00A837D3" w:rsidRDefault="00A837D3" w:rsidP="00A837D3"/>
    <w:p w:rsidR="00A837D3" w:rsidRDefault="00A837D3" w:rsidP="00A837D3"/>
    <w:p w:rsidR="00A837D3" w:rsidRDefault="00A837D3" w:rsidP="00A837D3"/>
    <w:p w:rsidR="003A68FE" w:rsidRPr="00040028" w:rsidRDefault="00B424B7" w:rsidP="00AF7A5F">
      <w:pPr>
        <w:pStyle w:val="NoSpacing"/>
        <w:rPr>
          <w:b/>
          <w:sz w:val="32"/>
          <w:szCs w:val="32"/>
        </w:rPr>
      </w:pPr>
      <w:r>
        <w:rPr>
          <w:b/>
          <w:sz w:val="32"/>
          <w:szCs w:val="32"/>
        </w:rPr>
        <w:t>P</w:t>
      </w:r>
      <w:r w:rsidR="003A68FE" w:rsidRPr="00040028">
        <w:rPr>
          <w:b/>
          <w:sz w:val="32"/>
          <w:szCs w:val="32"/>
        </w:rPr>
        <w:t>hase III</w:t>
      </w:r>
    </w:p>
    <w:p w:rsidR="003A68FE" w:rsidRDefault="003A68FE" w:rsidP="00AF7A5F">
      <w:pPr>
        <w:pStyle w:val="NoSpacing"/>
      </w:pPr>
    </w:p>
    <w:p w:rsidR="003A68FE" w:rsidRDefault="009947AC" w:rsidP="00F30B1D">
      <w:pPr>
        <w:pStyle w:val="NoSpacing"/>
        <w:spacing w:line="276" w:lineRule="auto"/>
      </w:pPr>
      <w:r>
        <w:tab/>
        <w:t>After a review of the Phase II data, WV DEP staff discussed the need to further asses</w:t>
      </w:r>
      <w:r w:rsidR="00682FB5">
        <w:t>s</w:t>
      </w:r>
      <w:r>
        <w:t xml:space="preserve"> the laboratories with a double-blind sample that more closely represented some of the </w:t>
      </w:r>
      <w:r w:rsidR="00F30B1D">
        <w:t xml:space="preserve">high specific conductance, alkaline </w:t>
      </w:r>
      <w:r>
        <w:t>mine discharges</w:t>
      </w:r>
      <w:r w:rsidR="00F943EA">
        <w:t xml:space="preserve"> in the state.  For Phase III two custom double-blind, full-volume samples were prepared by Wibby Environmental, Golden, CO.  One sample was prepared at 20 µg/L and one sample was prepared at 5 µg/L.  Both samples had the following constituents added in order to simulate a mine discharge:  Iron (Fe) – 2000 µg/L, Manganese (Mn) – 500 µg/l, Aluminum (Al) – 1000 µg/L, Calcium (Ca) – 15000 µg/L, Magnesium (Mg) – 7500 µg/L, Chloride – 5000 µg/L, and Sulfate – 300 µg/L.  (The sulfate concentration was supposed to be 300 mg/L</w:t>
      </w:r>
      <w:r w:rsidR="00081216">
        <w:t>)  Wibby prepared preserved portions at both concentrations and unpreserved portions at both concentrations.  The samples were tested by a referee laboratory to ensure the concentrations were accurate.  The samples were delivered to the labs in the same manner as w</w:t>
      </w:r>
      <w:r w:rsidR="00EA00B8">
        <w:t xml:space="preserve">as accomplished during </w:t>
      </w:r>
      <w:r w:rsidR="005B01E4">
        <w:t>Phase II, again</w:t>
      </w:r>
      <w:r w:rsidR="00EA00B8">
        <w:t>, only those labs that routinely analyze samples for WV DEP were assessed.</w:t>
      </w:r>
    </w:p>
    <w:p w:rsidR="00081216" w:rsidRDefault="00081216" w:rsidP="00AF7A5F">
      <w:pPr>
        <w:pStyle w:val="NoSpacing"/>
      </w:pPr>
    </w:p>
    <w:p w:rsidR="00081216" w:rsidRDefault="00081216" w:rsidP="00081216">
      <w:r>
        <w:t>The following table depicts the data used for evaluation under Phase III for the 5 µg/L sample.</w:t>
      </w:r>
    </w:p>
    <w:p w:rsidR="00040028" w:rsidRPr="00040028" w:rsidRDefault="00040028" w:rsidP="00040028">
      <w:pPr>
        <w:pStyle w:val="NoSpacing"/>
        <w:rPr>
          <w:b/>
          <w:sz w:val="32"/>
          <w:szCs w:val="32"/>
        </w:rPr>
      </w:pPr>
      <w:r w:rsidRPr="00040028">
        <w:rPr>
          <w:b/>
          <w:sz w:val="32"/>
          <w:szCs w:val="32"/>
        </w:rPr>
        <w:t>Table 5.</w:t>
      </w:r>
    </w:p>
    <w:tbl>
      <w:tblPr>
        <w:tblW w:w="821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0"/>
        <w:gridCol w:w="963"/>
        <w:gridCol w:w="1088"/>
        <w:gridCol w:w="1080"/>
        <w:gridCol w:w="1283"/>
        <w:gridCol w:w="1080"/>
      </w:tblGrid>
      <w:tr w:rsidR="008B7AB4" w:rsidRPr="008B7AB4" w:rsidTr="00F4161B">
        <w:trPr>
          <w:trHeight w:val="405"/>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AB4" w:rsidRPr="00F4161B" w:rsidRDefault="008B7AB4" w:rsidP="008B7AB4">
            <w:pPr>
              <w:rPr>
                <w:rFonts w:cs="Times New Roman"/>
                <w:b/>
                <w:bCs/>
                <w:sz w:val="32"/>
                <w:szCs w:val="32"/>
              </w:rPr>
            </w:pPr>
            <w:r w:rsidRPr="00F4161B">
              <w:rPr>
                <w:rFonts w:cs="Times New Roman"/>
                <w:b/>
                <w:bCs/>
                <w:sz w:val="32"/>
                <w:szCs w:val="32"/>
              </w:rPr>
              <w:t>Lab</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AB4" w:rsidRPr="00F4161B" w:rsidRDefault="008B7AB4" w:rsidP="008B7AB4">
            <w:pPr>
              <w:rPr>
                <w:rFonts w:cs="Times New Roman"/>
                <w:b/>
                <w:bCs/>
                <w:sz w:val="32"/>
                <w:szCs w:val="32"/>
              </w:rPr>
            </w:pPr>
            <w:r w:rsidRPr="00F4161B">
              <w:rPr>
                <w:rFonts w:cs="Times New Roman"/>
                <w:b/>
                <w:bCs/>
                <w:sz w:val="32"/>
                <w:szCs w:val="32"/>
              </w:rPr>
              <w:t>MDL</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AB4" w:rsidRPr="00F4161B" w:rsidRDefault="008B7AB4" w:rsidP="008B7AB4">
            <w:pPr>
              <w:rPr>
                <w:rFonts w:cs="Times New Roman"/>
                <w:b/>
                <w:sz w:val="32"/>
                <w:szCs w:val="32"/>
              </w:rPr>
            </w:pPr>
            <w:r w:rsidRPr="00F4161B">
              <w:rPr>
                <w:rFonts w:cs="Times New Roman"/>
                <w:b/>
                <w:sz w:val="32"/>
                <w:szCs w:val="32"/>
              </w:rPr>
              <w:t>Result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AB4" w:rsidRPr="00F4161B" w:rsidRDefault="008B7AB4" w:rsidP="008B7AB4">
            <w:pPr>
              <w:rPr>
                <w:rFonts w:cs="Times New Roman"/>
                <w:b/>
                <w:sz w:val="32"/>
                <w:szCs w:val="32"/>
              </w:rPr>
            </w:pPr>
            <w:r w:rsidRPr="00F4161B">
              <w:rPr>
                <w:rFonts w:cs="Times New Roman"/>
                <w:b/>
                <w:sz w:val="32"/>
                <w:szCs w:val="32"/>
              </w:rPr>
              <w:t>units</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AB4" w:rsidRPr="00F4161B" w:rsidRDefault="008B7AB4" w:rsidP="008B7AB4">
            <w:pPr>
              <w:rPr>
                <w:rFonts w:cs="Times New Roman"/>
                <w:b/>
                <w:sz w:val="32"/>
                <w:szCs w:val="32"/>
              </w:rPr>
            </w:pPr>
            <w:r w:rsidRPr="00F4161B">
              <w:rPr>
                <w:rFonts w:cs="Times New Roman"/>
                <w:b/>
                <w:sz w:val="32"/>
                <w:szCs w:val="32"/>
              </w:rPr>
              <w:t>Method</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AB4" w:rsidRPr="00F4161B" w:rsidRDefault="008B7AB4" w:rsidP="008B7AB4">
            <w:pPr>
              <w:rPr>
                <w:rFonts w:cs="Times New Roman"/>
                <w:b/>
                <w:sz w:val="32"/>
                <w:szCs w:val="32"/>
              </w:rPr>
            </w:pPr>
            <w:r w:rsidRPr="00F4161B">
              <w:rPr>
                <w:rFonts w:cs="Times New Roman"/>
                <w:b/>
                <w:sz w:val="32"/>
                <w:szCs w:val="32"/>
              </w:rPr>
              <w:t>% Rec.</w:t>
            </w:r>
          </w:p>
        </w:tc>
      </w:tr>
      <w:tr w:rsidR="00F4161B" w:rsidRPr="00F4161B" w:rsidTr="00F4161B">
        <w:trPr>
          <w:trHeight w:val="317"/>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rPr>
                <w:rFonts w:cs="Times New Roman"/>
                <w:bCs/>
                <w:szCs w:val="24"/>
              </w:rPr>
            </w:pPr>
            <w:r w:rsidRPr="00F4161B">
              <w:rPr>
                <w:rFonts w:cs="Times New Roman"/>
                <w:bCs/>
                <w:szCs w:val="24"/>
              </w:rPr>
              <w:t>Appalachian Laboratories</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rPr>
                <w:rFonts w:cs="Times New Roman"/>
                <w:bCs/>
                <w:szCs w:val="24"/>
              </w:rPr>
            </w:pP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rPr>
                <w:rFonts w:cs="Times New Roman"/>
                <w:szCs w:val="24"/>
              </w:rPr>
            </w:pPr>
            <w:r w:rsidRPr="00F4161B">
              <w:rPr>
                <w:rFonts w:cs="Times New Roman"/>
                <w:szCs w:val="24"/>
              </w:rPr>
              <w:t>4.63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rPr>
                <w:rFonts w:cs="Times New Roman"/>
                <w:szCs w:val="24"/>
              </w:rPr>
            </w:pPr>
            <w:r w:rsidRPr="00F4161B">
              <w:rPr>
                <w:rFonts w:cs="Times New Roman"/>
                <w:szCs w:val="24"/>
              </w:rPr>
              <w:t>µg/L</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040028" w:rsidP="00F4161B">
            <w:pPr>
              <w:rPr>
                <w:rFonts w:cs="Times New Roman"/>
                <w:szCs w:val="24"/>
              </w:rPr>
            </w:pPr>
            <w:r>
              <w:rPr>
                <w:rFonts w:cs="Times New Roman"/>
                <w:szCs w:val="24"/>
              </w:rPr>
              <w:t>GFAA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rPr>
                <w:rFonts w:cs="Times New Roman"/>
                <w:szCs w:val="24"/>
              </w:rPr>
            </w:pPr>
            <w:r w:rsidRPr="00F4161B">
              <w:rPr>
                <w:rFonts w:cs="Times New Roman"/>
                <w:szCs w:val="24"/>
              </w:rPr>
              <w:t>92.6</w:t>
            </w:r>
          </w:p>
        </w:tc>
      </w:tr>
      <w:tr w:rsidR="00F4161B" w:rsidRPr="00F4161B" w:rsidTr="00F4161B">
        <w:trPr>
          <w:trHeight w:val="317"/>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rPr>
                <w:rFonts w:cs="Times New Roman"/>
                <w:bCs/>
                <w:szCs w:val="24"/>
              </w:rPr>
            </w:pPr>
            <w:r w:rsidRPr="00F4161B">
              <w:rPr>
                <w:rFonts w:cs="Times New Roman"/>
                <w:bCs/>
                <w:szCs w:val="24"/>
              </w:rPr>
              <w:t>Standard Labs (NEST)</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rPr>
                <w:rFonts w:cs="Times New Roman"/>
                <w:bCs/>
                <w:szCs w:val="24"/>
              </w:rPr>
            </w:pP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rPr>
                <w:rFonts w:cs="Times New Roman"/>
                <w:szCs w:val="24"/>
              </w:rPr>
            </w:pPr>
            <w:r w:rsidRPr="00F4161B">
              <w:rPr>
                <w:rFonts w:cs="Times New Roman"/>
                <w:szCs w:val="24"/>
              </w:rPr>
              <w:t>4.01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rPr>
                <w:rFonts w:cs="Times New Roman"/>
                <w:szCs w:val="24"/>
              </w:rPr>
            </w:pPr>
            <w:r w:rsidRPr="00F4161B">
              <w:rPr>
                <w:rFonts w:cs="Times New Roman"/>
                <w:szCs w:val="24"/>
              </w:rPr>
              <w:t>µg/L</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040028" w:rsidP="00F4161B">
            <w:pPr>
              <w:rPr>
                <w:rFonts w:cs="Times New Roman"/>
                <w:szCs w:val="24"/>
              </w:rPr>
            </w:pPr>
            <w:r>
              <w:rPr>
                <w:rFonts w:cs="Times New Roman"/>
                <w:szCs w:val="24"/>
              </w:rPr>
              <w:t>GFAA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rPr>
                <w:rFonts w:cs="Times New Roman"/>
                <w:szCs w:val="24"/>
              </w:rPr>
            </w:pPr>
            <w:r w:rsidRPr="00F4161B">
              <w:rPr>
                <w:rFonts w:cs="Times New Roman"/>
                <w:szCs w:val="24"/>
              </w:rPr>
              <w:t>80.2</w:t>
            </w:r>
          </w:p>
        </w:tc>
      </w:tr>
      <w:tr w:rsidR="00F4161B" w:rsidRPr="00F4161B" w:rsidTr="00F4161B">
        <w:trPr>
          <w:trHeight w:val="317"/>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rPr>
                <w:rFonts w:cs="Times New Roman"/>
                <w:bCs/>
                <w:szCs w:val="24"/>
              </w:rPr>
            </w:pPr>
            <w:r w:rsidRPr="00F4161B">
              <w:rPr>
                <w:rFonts w:cs="Times New Roman"/>
                <w:bCs/>
                <w:szCs w:val="24"/>
              </w:rPr>
              <w:t>REI Consultants</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rPr>
                <w:rFonts w:cs="Times New Roman"/>
                <w:bCs/>
                <w:szCs w:val="24"/>
              </w:rPr>
            </w:pP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rPr>
                <w:rFonts w:cs="Times New Roman"/>
                <w:szCs w:val="24"/>
              </w:rPr>
            </w:pPr>
            <w:r w:rsidRPr="00F4161B">
              <w:rPr>
                <w:rFonts w:cs="Times New Roman"/>
                <w:szCs w:val="24"/>
              </w:rPr>
              <w:t>6.4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rPr>
                <w:rFonts w:cs="Times New Roman"/>
                <w:szCs w:val="24"/>
              </w:rPr>
            </w:pPr>
            <w:r w:rsidRPr="00F4161B">
              <w:rPr>
                <w:rFonts w:cs="Times New Roman"/>
                <w:szCs w:val="24"/>
              </w:rPr>
              <w:t>µg/L</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040028" w:rsidP="00F4161B">
            <w:pPr>
              <w:rPr>
                <w:rFonts w:cs="Times New Roman"/>
                <w:szCs w:val="24"/>
              </w:rPr>
            </w:pPr>
            <w:r>
              <w:rPr>
                <w:rFonts w:cs="Times New Roman"/>
                <w:szCs w:val="24"/>
              </w:rPr>
              <w:t>GFAA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rPr>
                <w:rFonts w:cs="Times New Roman"/>
                <w:szCs w:val="24"/>
              </w:rPr>
            </w:pPr>
            <w:r w:rsidRPr="00F4161B">
              <w:rPr>
                <w:rFonts w:cs="Times New Roman"/>
                <w:szCs w:val="24"/>
              </w:rPr>
              <w:t>128.0</w:t>
            </w:r>
          </w:p>
        </w:tc>
      </w:tr>
      <w:tr w:rsidR="00F4161B" w:rsidRPr="00F4161B" w:rsidTr="00F4161B">
        <w:trPr>
          <w:trHeight w:val="317"/>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rPr>
                <w:rFonts w:cs="Times New Roman"/>
                <w:bCs/>
                <w:szCs w:val="24"/>
              </w:rPr>
            </w:pPr>
            <w:r w:rsidRPr="00F4161B">
              <w:rPr>
                <w:rFonts w:cs="Times New Roman"/>
                <w:bCs/>
                <w:szCs w:val="24"/>
              </w:rPr>
              <w:t>Acculab</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rPr>
                <w:rFonts w:cs="Times New Roman"/>
                <w:bCs/>
                <w:szCs w:val="24"/>
              </w:rPr>
            </w:pPr>
            <w:r w:rsidRPr="00F4161B">
              <w:rPr>
                <w:rFonts w:cs="Times New Roman"/>
                <w:bCs/>
                <w:szCs w:val="24"/>
              </w:rPr>
              <w:t>&lt;2</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rPr>
                <w:rFonts w:cs="Times New Roman"/>
                <w:szCs w:val="24"/>
              </w:rPr>
            </w:pPr>
            <w:r w:rsidRPr="00F4161B">
              <w:rPr>
                <w:rFonts w:cs="Times New Roman"/>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rPr>
                <w:rFonts w:cs="Times New Roman"/>
                <w:szCs w:val="24"/>
              </w:rPr>
            </w:pPr>
            <w:r w:rsidRPr="00F4161B">
              <w:rPr>
                <w:rFonts w:cs="Times New Roman"/>
                <w:szCs w:val="24"/>
              </w:rPr>
              <w:t>µg/L</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040028" w:rsidP="00F4161B">
            <w:pPr>
              <w:rPr>
                <w:rFonts w:cs="Times New Roman"/>
                <w:szCs w:val="24"/>
              </w:rPr>
            </w:pPr>
            <w:r>
              <w:rPr>
                <w:rFonts w:cs="Times New Roman"/>
                <w:szCs w:val="24"/>
              </w:rPr>
              <w:t>GFAA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rPr>
                <w:rFonts w:cs="Times New Roman"/>
                <w:szCs w:val="24"/>
              </w:rPr>
            </w:pPr>
            <w:r w:rsidRPr="00F4161B">
              <w:rPr>
                <w:rFonts w:cs="Times New Roman"/>
                <w:szCs w:val="24"/>
              </w:rPr>
              <w:t>0.0</w:t>
            </w:r>
          </w:p>
        </w:tc>
      </w:tr>
      <w:tr w:rsidR="00F4161B" w:rsidRPr="00F4161B" w:rsidTr="00F4161B">
        <w:trPr>
          <w:trHeight w:val="317"/>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rPr>
                <w:rFonts w:cs="Times New Roman"/>
                <w:bCs/>
                <w:szCs w:val="24"/>
              </w:rPr>
            </w:pPr>
            <w:r w:rsidRPr="00F4161B">
              <w:rPr>
                <w:rFonts w:cs="Times New Roman"/>
                <w:bCs/>
                <w:szCs w:val="24"/>
              </w:rPr>
              <w:t>Compliance Monitoring</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rPr>
                <w:rFonts w:cs="Times New Roman"/>
                <w:bCs/>
                <w:szCs w:val="24"/>
              </w:rPr>
            </w:pP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rPr>
                <w:rFonts w:cs="Times New Roman"/>
                <w:szCs w:val="24"/>
              </w:rPr>
            </w:pPr>
            <w:r w:rsidRPr="00F4161B">
              <w:rPr>
                <w:rFonts w:cs="Times New Roman"/>
                <w:szCs w:val="24"/>
              </w:rPr>
              <w:t>3.97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rPr>
                <w:rFonts w:cs="Times New Roman"/>
                <w:szCs w:val="24"/>
              </w:rPr>
            </w:pPr>
            <w:r w:rsidRPr="00F4161B">
              <w:rPr>
                <w:rFonts w:cs="Times New Roman"/>
                <w:szCs w:val="24"/>
              </w:rPr>
              <w:t>µg/L</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040028" w:rsidP="00F4161B">
            <w:pPr>
              <w:rPr>
                <w:rFonts w:cs="Times New Roman"/>
                <w:szCs w:val="24"/>
              </w:rPr>
            </w:pPr>
            <w:r>
              <w:rPr>
                <w:rFonts w:cs="Times New Roman"/>
                <w:szCs w:val="24"/>
              </w:rPr>
              <w:t>GFAA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rPr>
                <w:rFonts w:cs="Times New Roman"/>
                <w:szCs w:val="24"/>
              </w:rPr>
            </w:pPr>
            <w:r w:rsidRPr="00F4161B">
              <w:rPr>
                <w:rFonts w:cs="Times New Roman"/>
                <w:szCs w:val="24"/>
              </w:rPr>
              <w:t>79.4</w:t>
            </w:r>
          </w:p>
        </w:tc>
      </w:tr>
      <w:tr w:rsidR="00F4161B" w:rsidRPr="00F4161B" w:rsidTr="00F4161B">
        <w:trPr>
          <w:trHeight w:val="317"/>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rPr>
                <w:rFonts w:cs="Times New Roman"/>
                <w:bCs/>
                <w:szCs w:val="24"/>
              </w:rPr>
            </w:pPr>
            <w:r w:rsidRPr="00F4161B">
              <w:rPr>
                <w:rFonts w:cs="Times New Roman"/>
                <w:bCs/>
                <w:szCs w:val="24"/>
              </w:rPr>
              <w:t>Tra-Det</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rPr>
                <w:rFonts w:cs="Times New Roman"/>
                <w:bCs/>
                <w:szCs w:val="24"/>
              </w:rPr>
            </w:pP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rPr>
                <w:rFonts w:cs="Times New Roman"/>
                <w:szCs w:val="24"/>
              </w:rPr>
            </w:pPr>
            <w:r w:rsidRPr="00F4161B">
              <w:rPr>
                <w:rFonts w:cs="Times New Roman"/>
                <w:szCs w:val="24"/>
              </w:rPr>
              <w:t>5.8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rPr>
                <w:rFonts w:cs="Times New Roman"/>
                <w:szCs w:val="24"/>
              </w:rPr>
            </w:pPr>
            <w:r w:rsidRPr="00F4161B">
              <w:rPr>
                <w:rFonts w:cs="Times New Roman"/>
                <w:szCs w:val="24"/>
              </w:rPr>
              <w:t>µg/L</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040028" w:rsidP="00F4161B">
            <w:pPr>
              <w:rPr>
                <w:rFonts w:cs="Times New Roman"/>
                <w:szCs w:val="24"/>
              </w:rPr>
            </w:pPr>
            <w:r>
              <w:rPr>
                <w:rFonts w:cs="Times New Roman"/>
                <w:szCs w:val="24"/>
              </w:rPr>
              <w:t>GHAA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rPr>
                <w:rFonts w:cs="Times New Roman"/>
                <w:szCs w:val="24"/>
              </w:rPr>
            </w:pPr>
            <w:r w:rsidRPr="00F4161B">
              <w:rPr>
                <w:rFonts w:cs="Times New Roman"/>
                <w:szCs w:val="24"/>
              </w:rPr>
              <w:t>116.0</w:t>
            </w:r>
          </w:p>
        </w:tc>
      </w:tr>
      <w:tr w:rsidR="005B01E4" w:rsidRPr="00F4161B" w:rsidTr="00F4161B">
        <w:trPr>
          <w:trHeight w:val="317"/>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1E4" w:rsidRPr="00F4161B" w:rsidRDefault="005B01E4" w:rsidP="00F4161B">
            <w:pPr>
              <w:rPr>
                <w:rFonts w:cs="Times New Roman"/>
                <w:bCs/>
                <w:szCs w:val="24"/>
              </w:rPr>
            </w:pPr>
            <w:r>
              <w:rPr>
                <w:rFonts w:cs="Times New Roman"/>
                <w:bCs/>
                <w:szCs w:val="24"/>
              </w:rPr>
              <w:t>Tra-Det</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1E4" w:rsidRPr="00F4161B" w:rsidRDefault="005B01E4" w:rsidP="00F4161B">
            <w:pPr>
              <w:rPr>
                <w:rFonts w:cs="Times New Roman"/>
                <w:bCs/>
                <w:szCs w:val="24"/>
              </w:rPr>
            </w:pP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1E4" w:rsidRPr="00F4161B" w:rsidRDefault="005B01E4" w:rsidP="00F4161B">
            <w:pPr>
              <w:rPr>
                <w:rFonts w:cs="Times New Roman"/>
                <w:szCs w:val="24"/>
              </w:rPr>
            </w:pPr>
            <w:r>
              <w:rPr>
                <w:rFonts w:cs="Times New Roman"/>
                <w:szCs w:val="24"/>
              </w:rPr>
              <w:t>5.7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1E4" w:rsidRPr="00F4161B" w:rsidRDefault="005B01E4" w:rsidP="009F6C3F">
            <w:pPr>
              <w:rPr>
                <w:rFonts w:cs="Times New Roman"/>
                <w:szCs w:val="24"/>
              </w:rPr>
            </w:pPr>
            <w:r w:rsidRPr="00F4161B">
              <w:rPr>
                <w:rFonts w:cs="Times New Roman"/>
                <w:szCs w:val="24"/>
              </w:rPr>
              <w:t>µg/L</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1E4" w:rsidRPr="00F4161B" w:rsidRDefault="00040028" w:rsidP="009F6C3F">
            <w:pPr>
              <w:rPr>
                <w:rFonts w:cs="Times New Roman"/>
                <w:szCs w:val="24"/>
              </w:rPr>
            </w:pPr>
            <w:r>
              <w:rPr>
                <w:rFonts w:cs="Times New Roman"/>
                <w:szCs w:val="24"/>
              </w:rPr>
              <w:t>GHAA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1E4" w:rsidRPr="00F4161B" w:rsidRDefault="002F6BAB" w:rsidP="00F4161B">
            <w:pPr>
              <w:rPr>
                <w:rFonts w:cs="Times New Roman"/>
                <w:szCs w:val="24"/>
              </w:rPr>
            </w:pPr>
            <w:r>
              <w:rPr>
                <w:rFonts w:cs="Times New Roman"/>
                <w:szCs w:val="24"/>
              </w:rPr>
              <w:t>114.0</w:t>
            </w:r>
          </w:p>
        </w:tc>
      </w:tr>
      <w:tr w:rsidR="005B01E4" w:rsidRPr="00F4161B" w:rsidTr="00F4161B">
        <w:trPr>
          <w:trHeight w:val="317"/>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1E4" w:rsidRPr="00F4161B" w:rsidRDefault="005B01E4" w:rsidP="00F4161B">
            <w:pPr>
              <w:rPr>
                <w:rFonts w:cs="Times New Roman"/>
                <w:bCs/>
                <w:szCs w:val="24"/>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1E4" w:rsidRPr="00F4161B" w:rsidRDefault="005B01E4" w:rsidP="00F4161B">
            <w:pPr>
              <w:rPr>
                <w:rFonts w:cs="Times New Roman"/>
                <w:bCs/>
                <w:szCs w:val="24"/>
              </w:rPr>
            </w:pP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1E4" w:rsidRPr="00F4161B" w:rsidRDefault="005B01E4" w:rsidP="00F4161B">
            <w:pPr>
              <w:rPr>
                <w:rFonts w:cs="Times New Roman"/>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1E4" w:rsidRPr="00F4161B" w:rsidRDefault="005B01E4" w:rsidP="00F4161B">
            <w:pPr>
              <w:rPr>
                <w:rFonts w:cs="Times New Roman"/>
                <w:szCs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1E4" w:rsidRPr="00F4161B" w:rsidRDefault="005B01E4" w:rsidP="00F4161B">
            <w:pPr>
              <w:rPr>
                <w:rFonts w:cs="Times New Roman"/>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1E4" w:rsidRPr="00F4161B" w:rsidRDefault="005B01E4" w:rsidP="00F4161B">
            <w:pPr>
              <w:rPr>
                <w:rFonts w:cs="Times New Roman"/>
                <w:szCs w:val="24"/>
              </w:rPr>
            </w:pPr>
          </w:p>
        </w:tc>
      </w:tr>
      <w:tr w:rsidR="005B01E4" w:rsidRPr="00F4161B" w:rsidTr="00F4161B">
        <w:trPr>
          <w:trHeight w:val="317"/>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1E4" w:rsidRPr="00F4161B" w:rsidRDefault="005B01E4" w:rsidP="00F4161B">
            <w:pPr>
              <w:rPr>
                <w:rFonts w:cs="Times New Roman"/>
                <w:bCs/>
                <w:szCs w:val="24"/>
              </w:rPr>
            </w:pPr>
            <w:r w:rsidRPr="00F4161B">
              <w:rPr>
                <w:rFonts w:cs="Times New Roman"/>
                <w:bCs/>
                <w:szCs w:val="24"/>
              </w:rPr>
              <w:t>Average, All data</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1E4" w:rsidRPr="00F4161B" w:rsidRDefault="005B01E4" w:rsidP="00F4161B">
            <w:pPr>
              <w:rPr>
                <w:rFonts w:cs="Times New Roman"/>
                <w:bCs/>
                <w:szCs w:val="24"/>
              </w:rPr>
            </w:pP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1E4" w:rsidRPr="00F4161B" w:rsidRDefault="002F6BAB" w:rsidP="00F4161B">
            <w:pPr>
              <w:rPr>
                <w:rFonts w:cs="Times New Roman"/>
                <w:szCs w:val="24"/>
              </w:rPr>
            </w:pPr>
            <w:r>
              <w:rPr>
                <w:rFonts w:cs="Times New Roman"/>
                <w:szCs w:val="24"/>
              </w:rPr>
              <w:t>4.4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1E4" w:rsidRPr="00F4161B" w:rsidRDefault="005B01E4" w:rsidP="00F4161B">
            <w:pPr>
              <w:rPr>
                <w:rFonts w:cs="Times New Roman"/>
                <w:szCs w:val="24"/>
              </w:rPr>
            </w:pPr>
            <w:r w:rsidRPr="00F4161B">
              <w:rPr>
                <w:rFonts w:cs="Times New Roman"/>
                <w:szCs w:val="24"/>
              </w:rPr>
              <w:t>µg/L</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1E4" w:rsidRPr="00F4161B" w:rsidRDefault="005B01E4" w:rsidP="00F4161B">
            <w:pPr>
              <w:rPr>
                <w:rFonts w:cs="Times New Roman"/>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1E4" w:rsidRPr="00F4161B" w:rsidRDefault="005B01E4" w:rsidP="00F4161B">
            <w:pPr>
              <w:rPr>
                <w:rFonts w:cs="Times New Roman"/>
                <w:szCs w:val="24"/>
              </w:rPr>
            </w:pPr>
            <w:r w:rsidRPr="00F4161B">
              <w:rPr>
                <w:rFonts w:cs="Times New Roman"/>
                <w:szCs w:val="24"/>
              </w:rPr>
              <w:t>82.7</w:t>
            </w:r>
          </w:p>
        </w:tc>
      </w:tr>
      <w:tr w:rsidR="005B01E4" w:rsidRPr="00F4161B" w:rsidTr="00F4161B">
        <w:trPr>
          <w:trHeight w:val="317"/>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1E4" w:rsidRPr="00F4161B" w:rsidRDefault="005B01E4" w:rsidP="00F4161B">
            <w:pPr>
              <w:rPr>
                <w:rFonts w:cs="Times New Roman"/>
                <w:bCs/>
                <w:szCs w:val="24"/>
              </w:rPr>
            </w:pPr>
            <w:r w:rsidRPr="00F4161B">
              <w:rPr>
                <w:rFonts w:cs="Times New Roman"/>
                <w:bCs/>
                <w:szCs w:val="24"/>
              </w:rPr>
              <w:t>Average, GFAA</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1E4" w:rsidRPr="00F4161B" w:rsidRDefault="005B01E4" w:rsidP="00F4161B">
            <w:pPr>
              <w:rPr>
                <w:rFonts w:cs="Times New Roman"/>
                <w:bCs/>
                <w:szCs w:val="24"/>
              </w:rPr>
            </w:pP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1E4" w:rsidRPr="00F4161B" w:rsidRDefault="005B01E4" w:rsidP="00F4161B">
            <w:pPr>
              <w:rPr>
                <w:rFonts w:cs="Times New Roman"/>
                <w:szCs w:val="24"/>
              </w:rPr>
            </w:pPr>
            <w:r w:rsidRPr="00F4161B">
              <w:rPr>
                <w:rFonts w:cs="Times New Roman"/>
                <w:szCs w:val="24"/>
              </w:rPr>
              <w:t>3.8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1E4" w:rsidRPr="00F4161B" w:rsidRDefault="005B01E4" w:rsidP="00F4161B">
            <w:pPr>
              <w:rPr>
                <w:rFonts w:cs="Times New Roman"/>
                <w:szCs w:val="24"/>
              </w:rPr>
            </w:pPr>
            <w:r w:rsidRPr="00F4161B">
              <w:rPr>
                <w:rFonts w:cs="Times New Roman"/>
                <w:szCs w:val="24"/>
              </w:rPr>
              <w:t>µg/L</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1E4" w:rsidRPr="00F4161B" w:rsidRDefault="005B01E4" w:rsidP="00F4161B">
            <w:pPr>
              <w:rPr>
                <w:rFonts w:cs="Times New Roman"/>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1E4" w:rsidRPr="00F4161B" w:rsidRDefault="005B01E4" w:rsidP="00F4161B">
            <w:pPr>
              <w:rPr>
                <w:rFonts w:cs="Times New Roman"/>
                <w:szCs w:val="24"/>
              </w:rPr>
            </w:pPr>
            <w:r w:rsidRPr="00F4161B">
              <w:rPr>
                <w:rFonts w:cs="Times New Roman"/>
                <w:szCs w:val="24"/>
              </w:rPr>
              <w:t>76.0</w:t>
            </w:r>
          </w:p>
        </w:tc>
      </w:tr>
      <w:tr w:rsidR="005B01E4" w:rsidRPr="00F4161B" w:rsidTr="00F4161B">
        <w:trPr>
          <w:trHeight w:val="317"/>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1E4" w:rsidRPr="00F4161B" w:rsidRDefault="005B01E4" w:rsidP="00F4161B">
            <w:pPr>
              <w:rPr>
                <w:rFonts w:cs="Times New Roman"/>
                <w:bCs/>
                <w:szCs w:val="24"/>
              </w:rPr>
            </w:pPr>
            <w:r w:rsidRPr="00F4161B">
              <w:rPr>
                <w:rFonts w:cs="Times New Roman"/>
                <w:bCs/>
                <w:szCs w:val="24"/>
              </w:rPr>
              <w:t>Average Hydride</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1E4" w:rsidRPr="00F4161B" w:rsidRDefault="005B01E4" w:rsidP="00F4161B">
            <w:pPr>
              <w:rPr>
                <w:rFonts w:cs="Times New Roman"/>
                <w:bCs/>
                <w:szCs w:val="24"/>
              </w:rPr>
            </w:pP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1E4" w:rsidRPr="00F4161B" w:rsidRDefault="002F6BAB" w:rsidP="00F4161B">
            <w:pPr>
              <w:rPr>
                <w:rFonts w:cs="Times New Roman"/>
                <w:szCs w:val="24"/>
              </w:rPr>
            </w:pPr>
            <w:r>
              <w:rPr>
                <w:rFonts w:cs="Times New Roman"/>
                <w:szCs w:val="24"/>
              </w:rPr>
              <w:t>5.75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1E4" w:rsidRPr="00F4161B" w:rsidRDefault="005B01E4" w:rsidP="00F4161B">
            <w:pPr>
              <w:rPr>
                <w:rFonts w:cs="Times New Roman"/>
                <w:szCs w:val="24"/>
              </w:rPr>
            </w:pPr>
            <w:r w:rsidRPr="00F4161B">
              <w:rPr>
                <w:rFonts w:cs="Times New Roman"/>
                <w:szCs w:val="24"/>
              </w:rPr>
              <w:t>µg/L</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1E4" w:rsidRPr="00F4161B" w:rsidRDefault="005B01E4" w:rsidP="00F4161B">
            <w:pPr>
              <w:rPr>
                <w:rFonts w:cs="Times New Roman"/>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1E4" w:rsidRPr="00F4161B" w:rsidRDefault="002F6BAB" w:rsidP="00F4161B">
            <w:pPr>
              <w:rPr>
                <w:rFonts w:cs="Times New Roman"/>
                <w:szCs w:val="24"/>
              </w:rPr>
            </w:pPr>
            <w:r>
              <w:rPr>
                <w:rFonts w:cs="Times New Roman"/>
                <w:szCs w:val="24"/>
              </w:rPr>
              <w:t>115.0</w:t>
            </w:r>
          </w:p>
        </w:tc>
      </w:tr>
      <w:tr w:rsidR="005B01E4" w:rsidRPr="00F4161B" w:rsidTr="00F4161B">
        <w:trPr>
          <w:trHeight w:val="317"/>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1E4" w:rsidRPr="00F4161B" w:rsidRDefault="005B01E4" w:rsidP="00F4161B">
            <w:pPr>
              <w:rPr>
                <w:rFonts w:cs="Times New Roman"/>
                <w:bCs/>
                <w:szCs w:val="24"/>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1E4" w:rsidRPr="00F4161B" w:rsidRDefault="005B01E4" w:rsidP="00F4161B">
            <w:pPr>
              <w:rPr>
                <w:rFonts w:cs="Times New Roman"/>
                <w:bCs/>
                <w:szCs w:val="24"/>
              </w:rPr>
            </w:pP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1E4" w:rsidRPr="00F4161B" w:rsidRDefault="005B01E4" w:rsidP="00F4161B">
            <w:pPr>
              <w:rPr>
                <w:rFonts w:cs="Times New Roman"/>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1E4" w:rsidRPr="00F4161B" w:rsidRDefault="005B01E4" w:rsidP="00F4161B">
            <w:pPr>
              <w:rPr>
                <w:rFonts w:cs="Times New Roman"/>
                <w:szCs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1E4" w:rsidRPr="00F4161B" w:rsidRDefault="005B01E4" w:rsidP="00F4161B">
            <w:pPr>
              <w:rPr>
                <w:rFonts w:cs="Times New Roman"/>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1E4" w:rsidRPr="00F4161B" w:rsidRDefault="005B01E4" w:rsidP="00F4161B">
            <w:pPr>
              <w:rPr>
                <w:rFonts w:cs="Times New Roman"/>
                <w:szCs w:val="24"/>
              </w:rPr>
            </w:pPr>
          </w:p>
        </w:tc>
      </w:tr>
      <w:tr w:rsidR="005B01E4" w:rsidRPr="00F4161B" w:rsidTr="00F4161B">
        <w:trPr>
          <w:trHeight w:val="317"/>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1E4" w:rsidRPr="00F4161B" w:rsidRDefault="005B01E4" w:rsidP="00F4161B">
            <w:pPr>
              <w:rPr>
                <w:rFonts w:cs="Times New Roman"/>
                <w:bCs/>
                <w:szCs w:val="24"/>
              </w:rPr>
            </w:pPr>
            <w:r w:rsidRPr="00F4161B">
              <w:rPr>
                <w:rFonts w:cs="Times New Roman"/>
                <w:bCs/>
                <w:szCs w:val="24"/>
              </w:rPr>
              <w:t>Referee</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1E4" w:rsidRPr="00F4161B" w:rsidRDefault="005B01E4" w:rsidP="00F4161B">
            <w:pPr>
              <w:rPr>
                <w:rFonts w:cs="Times New Roman"/>
                <w:bCs/>
                <w:szCs w:val="24"/>
              </w:rPr>
            </w:pP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1E4" w:rsidRPr="00F4161B" w:rsidRDefault="005B01E4" w:rsidP="00F4161B">
            <w:pPr>
              <w:rPr>
                <w:rFonts w:cs="Times New Roman"/>
                <w:szCs w:val="24"/>
              </w:rPr>
            </w:pPr>
            <w:r w:rsidRPr="00F4161B">
              <w:rPr>
                <w:rFonts w:cs="Times New Roman"/>
                <w:szCs w:val="24"/>
              </w:rPr>
              <w:t>4.9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1E4" w:rsidRPr="00F4161B" w:rsidRDefault="005B01E4" w:rsidP="00F4161B">
            <w:pPr>
              <w:rPr>
                <w:rFonts w:cs="Times New Roman"/>
                <w:szCs w:val="24"/>
              </w:rPr>
            </w:pPr>
            <w:r w:rsidRPr="00F4161B">
              <w:rPr>
                <w:rFonts w:cs="Times New Roman"/>
                <w:szCs w:val="24"/>
              </w:rPr>
              <w:t>µg/L</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1E4" w:rsidRPr="00F4161B" w:rsidRDefault="00040028" w:rsidP="00F4161B">
            <w:pPr>
              <w:rPr>
                <w:rFonts w:cs="Times New Roman"/>
                <w:szCs w:val="24"/>
              </w:rPr>
            </w:pPr>
            <w:r>
              <w:rPr>
                <w:rFonts w:cs="Times New Roman"/>
                <w:szCs w:val="24"/>
              </w:rPr>
              <w:t>ICP-MS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1E4" w:rsidRPr="00F4161B" w:rsidRDefault="005B01E4" w:rsidP="00F4161B">
            <w:pPr>
              <w:rPr>
                <w:rFonts w:cs="Times New Roman"/>
                <w:szCs w:val="24"/>
              </w:rPr>
            </w:pPr>
            <w:r w:rsidRPr="00F4161B">
              <w:rPr>
                <w:rFonts w:cs="Times New Roman"/>
                <w:szCs w:val="24"/>
              </w:rPr>
              <w:t>98.0</w:t>
            </w:r>
          </w:p>
        </w:tc>
      </w:tr>
    </w:tbl>
    <w:p w:rsidR="00081216" w:rsidRDefault="00081216" w:rsidP="00AF7A5F">
      <w:pPr>
        <w:pStyle w:val="NoSpacing"/>
      </w:pPr>
    </w:p>
    <w:p w:rsidR="00F30B1D" w:rsidRDefault="00F30B1D" w:rsidP="00AE089D">
      <w:pPr>
        <w:pStyle w:val="NoSpacing"/>
      </w:pPr>
    </w:p>
    <w:p w:rsidR="00F30B1D" w:rsidRDefault="00F30B1D" w:rsidP="00AE089D">
      <w:pPr>
        <w:pStyle w:val="NoSpacing"/>
      </w:pPr>
    </w:p>
    <w:p w:rsidR="00F30B1D" w:rsidRDefault="00F30B1D" w:rsidP="00F30B1D">
      <w:pPr>
        <w:pStyle w:val="NoSpacing"/>
        <w:spacing w:line="276" w:lineRule="auto"/>
      </w:pPr>
    </w:p>
    <w:p w:rsidR="00AE089D" w:rsidRDefault="00AE089D" w:rsidP="00F30B1D">
      <w:pPr>
        <w:pStyle w:val="NoSpacing"/>
        <w:spacing w:line="276" w:lineRule="auto"/>
      </w:pPr>
      <w:r>
        <w:lastRenderedPageBreak/>
        <w:t>A review of the data revealed a problem with the results from Sturm Environmental.  Daniel Arnold contacted Sturm Environmental and determined that the laboratory may have received two samples at the 20 µg/L level as both samples they analyzed gave similar results.  Therefore, the data from Sturm Environmental was not included for the 5 µg/L evaluation.</w:t>
      </w:r>
      <w:r w:rsidR="002F6BAB">
        <w:t xml:space="preserve">  It was also clear that there was a problem with the samples submitted to Tra-Det.  It appears that Sturm Environmental had two samples at 20 µg/L delivered to them and Tra-Det had two samples at 5 µg/L delivered to them.  So, the 5 µg/L data has two data points from Tra-Det and the 20 µg/L data has two data points from Sturm Environmental.</w:t>
      </w:r>
    </w:p>
    <w:p w:rsidR="00EF55FC" w:rsidRDefault="00EF55FC" w:rsidP="0091471F"/>
    <w:p w:rsidR="0091471F" w:rsidRDefault="0091471F" w:rsidP="0091471F">
      <w:r>
        <w:t>The following chart gives a visual depiction of the raw results from Phase III</w:t>
      </w:r>
      <w:r w:rsidR="0099111B">
        <w:t xml:space="preserve"> </w:t>
      </w:r>
      <w:r w:rsidR="00AE089D">
        <w:t>5 µg/L sample</w:t>
      </w:r>
      <w:r>
        <w:t>.</w:t>
      </w:r>
    </w:p>
    <w:p w:rsidR="0091471F" w:rsidRPr="00040028" w:rsidRDefault="00040028" w:rsidP="00AF7A5F">
      <w:pPr>
        <w:pStyle w:val="NoSpacing"/>
        <w:rPr>
          <w:b/>
          <w:sz w:val="32"/>
          <w:szCs w:val="32"/>
        </w:rPr>
      </w:pPr>
      <w:r w:rsidRPr="00040028">
        <w:rPr>
          <w:b/>
          <w:sz w:val="32"/>
          <w:szCs w:val="32"/>
        </w:rPr>
        <w:t>Chart 5.</w:t>
      </w:r>
    </w:p>
    <w:p w:rsidR="0091471F" w:rsidRDefault="0091471F" w:rsidP="00AF7A5F">
      <w:pPr>
        <w:pStyle w:val="NoSpacing"/>
      </w:pPr>
    </w:p>
    <w:p w:rsidR="0091471F" w:rsidRDefault="002F6BAB" w:rsidP="00AF7A5F">
      <w:pPr>
        <w:pStyle w:val="NoSpacing"/>
      </w:pPr>
      <w:r w:rsidRPr="002F6BAB">
        <w:rPr>
          <w:noProof/>
        </w:rPr>
        <w:drawing>
          <wp:inline distT="0" distB="0" distL="0" distR="0">
            <wp:extent cx="5943600" cy="520065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9111B" w:rsidRDefault="0099111B" w:rsidP="00AF7A5F">
      <w:pPr>
        <w:pStyle w:val="NoSpacing"/>
      </w:pPr>
    </w:p>
    <w:tbl>
      <w:tblPr>
        <w:tblW w:w="9627" w:type="dxa"/>
        <w:tblInd w:w="108" w:type="dxa"/>
        <w:tblLook w:val="04A0"/>
      </w:tblPr>
      <w:tblGrid>
        <w:gridCol w:w="2645"/>
        <w:gridCol w:w="850"/>
        <w:gridCol w:w="1883"/>
        <w:gridCol w:w="850"/>
        <w:gridCol w:w="2549"/>
        <w:gridCol w:w="850"/>
      </w:tblGrid>
      <w:tr w:rsidR="00F510DE" w:rsidRPr="00C71448" w:rsidTr="004A23A7">
        <w:trPr>
          <w:trHeight w:val="325"/>
        </w:trPr>
        <w:tc>
          <w:tcPr>
            <w:tcW w:w="2490" w:type="dxa"/>
            <w:tcBorders>
              <w:top w:val="nil"/>
              <w:left w:val="nil"/>
              <w:bottom w:val="nil"/>
              <w:right w:val="nil"/>
            </w:tcBorders>
            <w:shd w:val="clear" w:color="auto" w:fill="auto"/>
            <w:noWrap/>
            <w:vAlign w:val="bottom"/>
            <w:hideMark/>
          </w:tcPr>
          <w:p w:rsidR="00F510DE" w:rsidRPr="00C71448" w:rsidRDefault="00F510DE" w:rsidP="004A23A7">
            <w:pPr>
              <w:spacing w:after="0"/>
              <w:contextualSpacing w:val="0"/>
              <w:rPr>
                <w:rFonts w:eastAsia="Times New Roman" w:cs="Times New Roman"/>
                <w:color w:val="000000"/>
                <w:szCs w:val="24"/>
              </w:rPr>
            </w:pPr>
            <w:r w:rsidRPr="00C71448">
              <w:rPr>
                <w:rFonts w:eastAsia="Times New Roman" w:cs="Times New Roman"/>
                <w:color w:val="000000"/>
                <w:szCs w:val="24"/>
              </w:rPr>
              <w:t>Graphite Furnace AA</w:t>
            </w:r>
          </w:p>
        </w:tc>
        <w:tc>
          <w:tcPr>
            <w:tcW w:w="800" w:type="dxa"/>
            <w:tcBorders>
              <w:top w:val="nil"/>
              <w:left w:val="nil"/>
              <w:bottom w:val="nil"/>
              <w:right w:val="nil"/>
            </w:tcBorders>
            <w:shd w:val="clear" w:color="000000" w:fill="FFFF00"/>
            <w:noWrap/>
            <w:vAlign w:val="bottom"/>
            <w:hideMark/>
          </w:tcPr>
          <w:p w:rsidR="00F510DE" w:rsidRPr="00C71448" w:rsidRDefault="00F510DE" w:rsidP="004A23A7">
            <w:pPr>
              <w:spacing w:after="0"/>
              <w:contextualSpacing w:val="0"/>
              <w:rPr>
                <w:rFonts w:ascii="Calibri" w:eastAsia="Times New Roman" w:hAnsi="Calibri" w:cs="Times New Roman"/>
                <w:color w:val="000000"/>
                <w:sz w:val="22"/>
              </w:rPr>
            </w:pPr>
            <w:r w:rsidRPr="00C71448">
              <w:rPr>
                <w:rFonts w:ascii="Calibri" w:eastAsia="Times New Roman" w:hAnsi="Calibri" w:cs="Times New Roman"/>
                <w:color w:val="000000"/>
                <w:sz w:val="22"/>
              </w:rPr>
              <w:t> </w:t>
            </w:r>
          </w:p>
        </w:tc>
        <w:tc>
          <w:tcPr>
            <w:tcW w:w="1773" w:type="dxa"/>
            <w:tcBorders>
              <w:top w:val="nil"/>
              <w:left w:val="nil"/>
              <w:bottom w:val="nil"/>
              <w:right w:val="nil"/>
            </w:tcBorders>
            <w:shd w:val="clear" w:color="auto" w:fill="auto"/>
            <w:noWrap/>
            <w:vAlign w:val="bottom"/>
            <w:hideMark/>
          </w:tcPr>
          <w:p w:rsidR="00F510DE" w:rsidRPr="00C71448" w:rsidRDefault="00F510DE" w:rsidP="004A23A7">
            <w:pPr>
              <w:spacing w:after="0"/>
              <w:contextualSpacing w:val="0"/>
              <w:rPr>
                <w:rFonts w:eastAsia="Times New Roman" w:cs="Times New Roman"/>
                <w:color w:val="000000"/>
                <w:szCs w:val="24"/>
              </w:rPr>
            </w:pPr>
            <w:r w:rsidRPr="00C71448">
              <w:rPr>
                <w:rFonts w:eastAsia="Times New Roman" w:cs="Times New Roman"/>
                <w:color w:val="000000"/>
                <w:szCs w:val="24"/>
              </w:rPr>
              <w:t>ICP- Mass Spec</w:t>
            </w:r>
          </w:p>
        </w:tc>
        <w:tc>
          <w:tcPr>
            <w:tcW w:w="800" w:type="dxa"/>
            <w:tcBorders>
              <w:top w:val="nil"/>
              <w:left w:val="nil"/>
              <w:bottom w:val="nil"/>
              <w:right w:val="nil"/>
            </w:tcBorders>
            <w:shd w:val="clear" w:color="000000" w:fill="00B050"/>
            <w:noWrap/>
            <w:vAlign w:val="bottom"/>
            <w:hideMark/>
          </w:tcPr>
          <w:p w:rsidR="00F510DE" w:rsidRPr="00C71448" w:rsidRDefault="00F510DE" w:rsidP="004A23A7">
            <w:pPr>
              <w:spacing w:after="0"/>
              <w:contextualSpacing w:val="0"/>
              <w:rPr>
                <w:rFonts w:ascii="Calibri" w:eastAsia="Times New Roman" w:hAnsi="Calibri" w:cs="Times New Roman"/>
                <w:color w:val="000000"/>
                <w:sz w:val="22"/>
              </w:rPr>
            </w:pPr>
            <w:r w:rsidRPr="00C71448">
              <w:rPr>
                <w:rFonts w:ascii="Calibri" w:eastAsia="Times New Roman" w:hAnsi="Calibri" w:cs="Times New Roman"/>
                <w:color w:val="000000"/>
                <w:sz w:val="22"/>
              </w:rPr>
              <w:t> </w:t>
            </w:r>
          </w:p>
        </w:tc>
        <w:tc>
          <w:tcPr>
            <w:tcW w:w="2400" w:type="dxa"/>
            <w:tcBorders>
              <w:top w:val="nil"/>
              <w:left w:val="nil"/>
              <w:bottom w:val="nil"/>
              <w:right w:val="nil"/>
            </w:tcBorders>
            <w:shd w:val="clear" w:color="auto" w:fill="auto"/>
            <w:noWrap/>
            <w:vAlign w:val="bottom"/>
            <w:hideMark/>
          </w:tcPr>
          <w:p w:rsidR="00F510DE" w:rsidRPr="00C71448" w:rsidRDefault="00F510DE" w:rsidP="004A23A7">
            <w:pPr>
              <w:spacing w:after="0"/>
              <w:contextualSpacing w:val="0"/>
              <w:rPr>
                <w:rFonts w:eastAsia="Times New Roman" w:cs="Times New Roman"/>
                <w:color w:val="000000"/>
                <w:szCs w:val="24"/>
              </w:rPr>
            </w:pPr>
            <w:r w:rsidRPr="00C71448">
              <w:rPr>
                <w:rFonts w:eastAsia="Times New Roman" w:cs="Times New Roman"/>
                <w:color w:val="000000"/>
                <w:szCs w:val="24"/>
              </w:rPr>
              <w:t>Gaseous Hydride-AA</w:t>
            </w:r>
          </w:p>
        </w:tc>
        <w:tc>
          <w:tcPr>
            <w:tcW w:w="800" w:type="dxa"/>
            <w:tcBorders>
              <w:top w:val="nil"/>
              <w:left w:val="nil"/>
              <w:bottom w:val="nil"/>
              <w:right w:val="nil"/>
            </w:tcBorders>
            <w:shd w:val="clear" w:color="000000" w:fill="7030A0"/>
            <w:noWrap/>
            <w:vAlign w:val="bottom"/>
            <w:hideMark/>
          </w:tcPr>
          <w:p w:rsidR="00F510DE" w:rsidRPr="00C71448" w:rsidRDefault="00F510DE" w:rsidP="004A23A7">
            <w:pPr>
              <w:spacing w:after="0"/>
              <w:contextualSpacing w:val="0"/>
              <w:rPr>
                <w:rFonts w:ascii="Calibri" w:eastAsia="Times New Roman" w:hAnsi="Calibri" w:cs="Times New Roman"/>
                <w:color w:val="000000"/>
                <w:sz w:val="22"/>
              </w:rPr>
            </w:pPr>
            <w:r w:rsidRPr="00C71448">
              <w:rPr>
                <w:rFonts w:ascii="Calibri" w:eastAsia="Times New Roman" w:hAnsi="Calibri" w:cs="Times New Roman"/>
                <w:color w:val="000000"/>
                <w:sz w:val="22"/>
              </w:rPr>
              <w:t> </w:t>
            </w:r>
          </w:p>
        </w:tc>
      </w:tr>
    </w:tbl>
    <w:p w:rsidR="0099111B" w:rsidRDefault="0099111B" w:rsidP="00F30B1D">
      <w:pPr>
        <w:spacing w:line="276" w:lineRule="auto"/>
      </w:pPr>
      <w:r>
        <w:lastRenderedPageBreak/>
        <w:t>The following chart gives a visual depiction of the percent recovery data for raw results from Phase III 5 µg/L sample.</w:t>
      </w:r>
    </w:p>
    <w:p w:rsidR="0099111B" w:rsidRPr="00040028" w:rsidRDefault="0099111B" w:rsidP="00AF7A5F">
      <w:pPr>
        <w:pStyle w:val="NoSpacing"/>
        <w:rPr>
          <w:b/>
          <w:sz w:val="32"/>
          <w:szCs w:val="32"/>
        </w:rPr>
      </w:pPr>
      <w:r w:rsidRPr="00040028">
        <w:rPr>
          <w:b/>
          <w:sz w:val="32"/>
          <w:szCs w:val="32"/>
        </w:rPr>
        <w:t xml:space="preserve">Chart </w:t>
      </w:r>
      <w:r w:rsidR="00040028" w:rsidRPr="00040028">
        <w:rPr>
          <w:b/>
          <w:sz w:val="32"/>
          <w:szCs w:val="32"/>
        </w:rPr>
        <w:t>6</w:t>
      </w:r>
      <w:r w:rsidRPr="00040028">
        <w:rPr>
          <w:b/>
          <w:sz w:val="32"/>
          <w:szCs w:val="32"/>
        </w:rPr>
        <w:t>.</w:t>
      </w:r>
    </w:p>
    <w:p w:rsidR="00EF55FC" w:rsidRDefault="00EF55FC" w:rsidP="00AF7A5F">
      <w:pPr>
        <w:pStyle w:val="NoSpacing"/>
      </w:pPr>
    </w:p>
    <w:p w:rsidR="0099111B" w:rsidRDefault="002F6BAB" w:rsidP="00AF7A5F">
      <w:pPr>
        <w:pStyle w:val="NoSpacing"/>
      </w:pPr>
      <w:r w:rsidRPr="002F6BAB">
        <w:rPr>
          <w:noProof/>
        </w:rPr>
        <w:drawing>
          <wp:inline distT="0" distB="0" distL="0" distR="0">
            <wp:extent cx="5943600" cy="5200650"/>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F55FC" w:rsidRDefault="00EF55FC" w:rsidP="00AF7A5F">
      <w:pPr>
        <w:pStyle w:val="NoSpacing"/>
      </w:pPr>
    </w:p>
    <w:tbl>
      <w:tblPr>
        <w:tblW w:w="9627" w:type="dxa"/>
        <w:tblInd w:w="108" w:type="dxa"/>
        <w:tblLook w:val="04A0"/>
      </w:tblPr>
      <w:tblGrid>
        <w:gridCol w:w="2645"/>
        <w:gridCol w:w="850"/>
        <w:gridCol w:w="1883"/>
        <w:gridCol w:w="850"/>
        <w:gridCol w:w="2549"/>
        <w:gridCol w:w="850"/>
      </w:tblGrid>
      <w:tr w:rsidR="00F510DE" w:rsidRPr="00C71448" w:rsidTr="004A23A7">
        <w:trPr>
          <w:trHeight w:val="325"/>
        </w:trPr>
        <w:tc>
          <w:tcPr>
            <w:tcW w:w="2490" w:type="dxa"/>
            <w:tcBorders>
              <w:top w:val="nil"/>
              <w:left w:val="nil"/>
              <w:bottom w:val="nil"/>
              <w:right w:val="nil"/>
            </w:tcBorders>
            <w:shd w:val="clear" w:color="auto" w:fill="auto"/>
            <w:noWrap/>
            <w:vAlign w:val="bottom"/>
            <w:hideMark/>
          </w:tcPr>
          <w:p w:rsidR="00F510DE" w:rsidRPr="00C71448" w:rsidRDefault="00F510DE" w:rsidP="004A23A7">
            <w:pPr>
              <w:spacing w:after="0"/>
              <w:contextualSpacing w:val="0"/>
              <w:rPr>
                <w:rFonts w:eastAsia="Times New Roman" w:cs="Times New Roman"/>
                <w:color w:val="000000"/>
                <w:szCs w:val="24"/>
              </w:rPr>
            </w:pPr>
            <w:r w:rsidRPr="00C71448">
              <w:rPr>
                <w:rFonts w:eastAsia="Times New Roman" w:cs="Times New Roman"/>
                <w:color w:val="000000"/>
                <w:szCs w:val="24"/>
              </w:rPr>
              <w:t>Graphite Furnace AA</w:t>
            </w:r>
          </w:p>
        </w:tc>
        <w:tc>
          <w:tcPr>
            <w:tcW w:w="800" w:type="dxa"/>
            <w:tcBorders>
              <w:top w:val="nil"/>
              <w:left w:val="nil"/>
              <w:bottom w:val="nil"/>
              <w:right w:val="nil"/>
            </w:tcBorders>
            <w:shd w:val="clear" w:color="000000" w:fill="FFFF00"/>
            <w:noWrap/>
            <w:vAlign w:val="bottom"/>
            <w:hideMark/>
          </w:tcPr>
          <w:p w:rsidR="00F510DE" w:rsidRPr="00C71448" w:rsidRDefault="00F510DE" w:rsidP="004A23A7">
            <w:pPr>
              <w:spacing w:after="0"/>
              <w:contextualSpacing w:val="0"/>
              <w:rPr>
                <w:rFonts w:ascii="Calibri" w:eastAsia="Times New Roman" w:hAnsi="Calibri" w:cs="Times New Roman"/>
                <w:color w:val="000000"/>
                <w:sz w:val="22"/>
              </w:rPr>
            </w:pPr>
            <w:r w:rsidRPr="00C71448">
              <w:rPr>
                <w:rFonts w:ascii="Calibri" w:eastAsia="Times New Roman" w:hAnsi="Calibri" w:cs="Times New Roman"/>
                <w:color w:val="000000"/>
                <w:sz w:val="22"/>
              </w:rPr>
              <w:t> </w:t>
            </w:r>
          </w:p>
        </w:tc>
        <w:tc>
          <w:tcPr>
            <w:tcW w:w="1773" w:type="dxa"/>
            <w:tcBorders>
              <w:top w:val="nil"/>
              <w:left w:val="nil"/>
              <w:bottom w:val="nil"/>
              <w:right w:val="nil"/>
            </w:tcBorders>
            <w:shd w:val="clear" w:color="auto" w:fill="auto"/>
            <w:noWrap/>
            <w:vAlign w:val="bottom"/>
            <w:hideMark/>
          </w:tcPr>
          <w:p w:rsidR="00F510DE" w:rsidRPr="00C71448" w:rsidRDefault="00F510DE" w:rsidP="004A23A7">
            <w:pPr>
              <w:spacing w:after="0"/>
              <w:contextualSpacing w:val="0"/>
              <w:rPr>
                <w:rFonts w:eastAsia="Times New Roman" w:cs="Times New Roman"/>
                <w:color w:val="000000"/>
                <w:szCs w:val="24"/>
              </w:rPr>
            </w:pPr>
            <w:r w:rsidRPr="00C71448">
              <w:rPr>
                <w:rFonts w:eastAsia="Times New Roman" w:cs="Times New Roman"/>
                <w:color w:val="000000"/>
                <w:szCs w:val="24"/>
              </w:rPr>
              <w:t>ICP- Mass Spec</w:t>
            </w:r>
          </w:p>
        </w:tc>
        <w:tc>
          <w:tcPr>
            <w:tcW w:w="800" w:type="dxa"/>
            <w:tcBorders>
              <w:top w:val="nil"/>
              <w:left w:val="nil"/>
              <w:bottom w:val="nil"/>
              <w:right w:val="nil"/>
            </w:tcBorders>
            <w:shd w:val="clear" w:color="000000" w:fill="00B050"/>
            <w:noWrap/>
            <w:vAlign w:val="bottom"/>
            <w:hideMark/>
          </w:tcPr>
          <w:p w:rsidR="00F510DE" w:rsidRPr="00C71448" w:rsidRDefault="00F510DE" w:rsidP="004A23A7">
            <w:pPr>
              <w:spacing w:after="0"/>
              <w:contextualSpacing w:val="0"/>
              <w:rPr>
                <w:rFonts w:ascii="Calibri" w:eastAsia="Times New Roman" w:hAnsi="Calibri" w:cs="Times New Roman"/>
                <w:color w:val="000000"/>
                <w:sz w:val="22"/>
              </w:rPr>
            </w:pPr>
            <w:r w:rsidRPr="00C71448">
              <w:rPr>
                <w:rFonts w:ascii="Calibri" w:eastAsia="Times New Roman" w:hAnsi="Calibri" w:cs="Times New Roman"/>
                <w:color w:val="000000"/>
                <w:sz w:val="22"/>
              </w:rPr>
              <w:t> </w:t>
            </w:r>
          </w:p>
        </w:tc>
        <w:tc>
          <w:tcPr>
            <w:tcW w:w="2400" w:type="dxa"/>
            <w:tcBorders>
              <w:top w:val="nil"/>
              <w:left w:val="nil"/>
              <w:bottom w:val="nil"/>
              <w:right w:val="nil"/>
            </w:tcBorders>
            <w:shd w:val="clear" w:color="auto" w:fill="auto"/>
            <w:noWrap/>
            <w:vAlign w:val="bottom"/>
            <w:hideMark/>
          </w:tcPr>
          <w:p w:rsidR="00F510DE" w:rsidRPr="00C71448" w:rsidRDefault="00F510DE" w:rsidP="004A23A7">
            <w:pPr>
              <w:spacing w:after="0"/>
              <w:contextualSpacing w:val="0"/>
              <w:rPr>
                <w:rFonts w:eastAsia="Times New Roman" w:cs="Times New Roman"/>
                <w:color w:val="000000"/>
                <w:szCs w:val="24"/>
              </w:rPr>
            </w:pPr>
            <w:r w:rsidRPr="00C71448">
              <w:rPr>
                <w:rFonts w:eastAsia="Times New Roman" w:cs="Times New Roman"/>
                <w:color w:val="000000"/>
                <w:szCs w:val="24"/>
              </w:rPr>
              <w:t>Gaseous Hydride-AA</w:t>
            </w:r>
          </w:p>
        </w:tc>
        <w:tc>
          <w:tcPr>
            <w:tcW w:w="800" w:type="dxa"/>
            <w:tcBorders>
              <w:top w:val="nil"/>
              <w:left w:val="nil"/>
              <w:bottom w:val="nil"/>
              <w:right w:val="nil"/>
            </w:tcBorders>
            <w:shd w:val="clear" w:color="000000" w:fill="7030A0"/>
            <w:noWrap/>
            <w:vAlign w:val="bottom"/>
            <w:hideMark/>
          </w:tcPr>
          <w:p w:rsidR="00F510DE" w:rsidRPr="00C71448" w:rsidRDefault="00F510DE" w:rsidP="004A23A7">
            <w:pPr>
              <w:spacing w:after="0"/>
              <w:contextualSpacing w:val="0"/>
              <w:rPr>
                <w:rFonts w:ascii="Calibri" w:eastAsia="Times New Roman" w:hAnsi="Calibri" w:cs="Times New Roman"/>
                <w:color w:val="000000"/>
                <w:sz w:val="22"/>
              </w:rPr>
            </w:pPr>
            <w:r w:rsidRPr="00C71448">
              <w:rPr>
                <w:rFonts w:ascii="Calibri" w:eastAsia="Times New Roman" w:hAnsi="Calibri" w:cs="Times New Roman"/>
                <w:color w:val="000000"/>
                <w:sz w:val="22"/>
              </w:rPr>
              <w:t> </w:t>
            </w:r>
          </w:p>
        </w:tc>
      </w:tr>
    </w:tbl>
    <w:p w:rsidR="00EF55FC" w:rsidRDefault="00EF55FC" w:rsidP="00AF7A5F">
      <w:pPr>
        <w:pStyle w:val="NoSpacing"/>
      </w:pPr>
    </w:p>
    <w:p w:rsidR="00EF55FC" w:rsidRDefault="00EF55FC" w:rsidP="00EF55FC"/>
    <w:p w:rsidR="00EF55FC" w:rsidRDefault="00EF55FC" w:rsidP="00EF55FC"/>
    <w:p w:rsidR="00EF55FC" w:rsidRDefault="00EF55FC" w:rsidP="00EF55FC"/>
    <w:p w:rsidR="00EF55FC" w:rsidRDefault="00EF55FC" w:rsidP="00EF55FC"/>
    <w:p w:rsidR="00EF55FC" w:rsidRDefault="00EF55FC" w:rsidP="00EF55FC"/>
    <w:p w:rsidR="00EF55FC" w:rsidRDefault="00EF55FC" w:rsidP="00EF55FC"/>
    <w:p w:rsidR="00EF55FC" w:rsidRDefault="00EF55FC" w:rsidP="00EF55FC"/>
    <w:p w:rsidR="00EF55FC" w:rsidRDefault="00EF55FC" w:rsidP="00EF55FC"/>
    <w:p w:rsidR="00EF55FC" w:rsidRDefault="00EF55FC" w:rsidP="00EF55FC">
      <w:r>
        <w:lastRenderedPageBreak/>
        <w:t>The following table depicts the data used for evaluation under Phase III for the 20 µg/L sample.</w:t>
      </w:r>
    </w:p>
    <w:p w:rsidR="00EF55FC" w:rsidRPr="00CB3929" w:rsidRDefault="00CB3929" w:rsidP="00EF55FC">
      <w:pPr>
        <w:pStyle w:val="NoSpacing"/>
        <w:rPr>
          <w:b/>
          <w:sz w:val="32"/>
          <w:szCs w:val="32"/>
        </w:rPr>
      </w:pPr>
      <w:r w:rsidRPr="00CB3929">
        <w:rPr>
          <w:b/>
          <w:sz w:val="32"/>
          <w:szCs w:val="32"/>
        </w:rPr>
        <w:t>Table 6.</w:t>
      </w:r>
    </w:p>
    <w:tbl>
      <w:tblPr>
        <w:tblW w:w="76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0"/>
        <w:gridCol w:w="460"/>
        <w:gridCol w:w="1080"/>
        <w:gridCol w:w="1080"/>
        <w:gridCol w:w="1212"/>
        <w:gridCol w:w="1080"/>
      </w:tblGrid>
      <w:tr w:rsidR="008B7AB4" w:rsidRPr="008B7AB4" w:rsidTr="00F4161B">
        <w:trPr>
          <w:trHeight w:val="405"/>
        </w:trPr>
        <w:tc>
          <w:tcPr>
            <w:tcW w:w="2720" w:type="dxa"/>
            <w:shd w:val="clear" w:color="auto" w:fill="auto"/>
            <w:noWrap/>
            <w:vAlign w:val="bottom"/>
            <w:hideMark/>
          </w:tcPr>
          <w:p w:rsidR="008B7AB4" w:rsidRPr="00F4161B" w:rsidRDefault="008B7AB4" w:rsidP="008B7AB4">
            <w:pPr>
              <w:spacing w:after="0"/>
              <w:contextualSpacing w:val="0"/>
              <w:rPr>
                <w:rFonts w:eastAsia="Times New Roman" w:cs="Times New Roman"/>
                <w:bCs/>
                <w:sz w:val="32"/>
                <w:szCs w:val="32"/>
              </w:rPr>
            </w:pPr>
            <w:r w:rsidRPr="00F4161B">
              <w:rPr>
                <w:rFonts w:eastAsia="Times New Roman" w:cs="Times New Roman"/>
                <w:bCs/>
                <w:sz w:val="32"/>
                <w:szCs w:val="32"/>
              </w:rPr>
              <w:t>Lab</w:t>
            </w:r>
          </w:p>
        </w:tc>
        <w:tc>
          <w:tcPr>
            <w:tcW w:w="460" w:type="dxa"/>
            <w:shd w:val="clear" w:color="auto" w:fill="auto"/>
            <w:noWrap/>
            <w:vAlign w:val="bottom"/>
            <w:hideMark/>
          </w:tcPr>
          <w:p w:rsidR="008B7AB4" w:rsidRPr="00F4161B" w:rsidRDefault="008B7AB4" w:rsidP="008B7AB4">
            <w:pPr>
              <w:spacing w:after="0"/>
              <w:contextualSpacing w:val="0"/>
              <w:rPr>
                <w:rFonts w:eastAsia="Times New Roman" w:cs="Times New Roman"/>
                <w:bCs/>
                <w:sz w:val="32"/>
                <w:szCs w:val="32"/>
              </w:rPr>
            </w:pPr>
          </w:p>
        </w:tc>
        <w:tc>
          <w:tcPr>
            <w:tcW w:w="1080" w:type="dxa"/>
            <w:shd w:val="clear" w:color="auto" w:fill="auto"/>
            <w:noWrap/>
            <w:vAlign w:val="bottom"/>
            <w:hideMark/>
          </w:tcPr>
          <w:p w:rsidR="008B7AB4" w:rsidRPr="00F4161B" w:rsidRDefault="008B7AB4" w:rsidP="008B7AB4">
            <w:pPr>
              <w:spacing w:after="0"/>
              <w:contextualSpacing w:val="0"/>
              <w:rPr>
                <w:rFonts w:eastAsia="Times New Roman" w:cs="Times New Roman"/>
                <w:sz w:val="32"/>
                <w:szCs w:val="32"/>
              </w:rPr>
            </w:pPr>
            <w:r w:rsidRPr="00F4161B">
              <w:rPr>
                <w:rFonts w:eastAsia="Times New Roman" w:cs="Times New Roman"/>
                <w:sz w:val="32"/>
                <w:szCs w:val="32"/>
              </w:rPr>
              <w:t>Result</w:t>
            </w:r>
          </w:p>
        </w:tc>
        <w:tc>
          <w:tcPr>
            <w:tcW w:w="1080" w:type="dxa"/>
            <w:shd w:val="clear" w:color="auto" w:fill="auto"/>
            <w:noWrap/>
            <w:vAlign w:val="bottom"/>
            <w:hideMark/>
          </w:tcPr>
          <w:p w:rsidR="008B7AB4" w:rsidRPr="00F4161B" w:rsidRDefault="008B7AB4" w:rsidP="008B7AB4">
            <w:pPr>
              <w:spacing w:after="0"/>
              <w:contextualSpacing w:val="0"/>
              <w:rPr>
                <w:rFonts w:eastAsia="Times New Roman" w:cs="Times New Roman"/>
                <w:sz w:val="32"/>
                <w:szCs w:val="32"/>
              </w:rPr>
            </w:pPr>
            <w:r w:rsidRPr="00F4161B">
              <w:rPr>
                <w:rFonts w:eastAsia="Times New Roman" w:cs="Times New Roman"/>
                <w:sz w:val="32"/>
                <w:szCs w:val="32"/>
              </w:rPr>
              <w:t>units</w:t>
            </w:r>
          </w:p>
        </w:tc>
        <w:tc>
          <w:tcPr>
            <w:tcW w:w="1212" w:type="dxa"/>
            <w:shd w:val="clear" w:color="auto" w:fill="auto"/>
            <w:noWrap/>
            <w:vAlign w:val="bottom"/>
            <w:hideMark/>
          </w:tcPr>
          <w:p w:rsidR="008B7AB4" w:rsidRPr="00F4161B" w:rsidRDefault="008B7AB4" w:rsidP="008B7AB4">
            <w:pPr>
              <w:spacing w:after="0"/>
              <w:contextualSpacing w:val="0"/>
              <w:rPr>
                <w:rFonts w:eastAsia="Times New Roman" w:cs="Times New Roman"/>
                <w:sz w:val="32"/>
                <w:szCs w:val="32"/>
              </w:rPr>
            </w:pPr>
            <w:r w:rsidRPr="00F4161B">
              <w:rPr>
                <w:rFonts w:eastAsia="Times New Roman" w:cs="Times New Roman"/>
                <w:sz w:val="32"/>
                <w:szCs w:val="32"/>
              </w:rPr>
              <w:t>Method</w:t>
            </w:r>
          </w:p>
        </w:tc>
        <w:tc>
          <w:tcPr>
            <w:tcW w:w="1080" w:type="dxa"/>
            <w:shd w:val="clear" w:color="auto" w:fill="auto"/>
            <w:noWrap/>
            <w:vAlign w:val="bottom"/>
            <w:hideMark/>
          </w:tcPr>
          <w:p w:rsidR="008B7AB4" w:rsidRPr="00F4161B" w:rsidRDefault="008B7AB4" w:rsidP="008B7AB4">
            <w:pPr>
              <w:spacing w:after="0"/>
              <w:contextualSpacing w:val="0"/>
              <w:rPr>
                <w:rFonts w:eastAsia="Times New Roman" w:cs="Times New Roman"/>
                <w:sz w:val="32"/>
                <w:szCs w:val="32"/>
              </w:rPr>
            </w:pPr>
            <w:r w:rsidRPr="00F4161B">
              <w:rPr>
                <w:rFonts w:eastAsia="Times New Roman" w:cs="Times New Roman"/>
                <w:sz w:val="32"/>
                <w:szCs w:val="32"/>
              </w:rPr>
              <w:t>% Rec.</w:t>
            </w:r>
          </w:p>
        </w:tc>
      </w:tr>
      <w:tr w:rsidR="00F4161B" w:rsidRPr="00F4161B" w:rsidTr="00F4161B">
        <w:trPr>
          <w:trHeight w:val="317"/>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spacing w:after="0"/>
              <w:contextualSpacing w:val="0"/>
              <w:rPr>
                <w:rFonts w:eastAsia="Times New Roman" w:cs="Times New Roman"/>
                <w:bCs/>
                <w:szCs w:val="24"/>
              </w:rPr>
            </w:pPr>
            <w:r w:rsidRPr="00F4161B">
              <w:rPr>
                <w:rFonts w:eastAsia="Times New Roman" w:cs="Times New Roman"/>
                <w:bCs/>
                <w:szCs w:val="24"/>
              </w:rPr>
              <w:t>Appalachian Laboratories</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spacing w:after="0"/>
              <w:contextualSpacing w:val="0"/>
              <w:rPr>
                <w:rFonts w:eastAsia="Times New Roman" w:cs="Times New Roman"/>
                <w:bCs/>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spacing w:after="0"/>
              <w:contextualSpacing w:val="0"/>
              <w:rPr>
                <w:rFonts w:eastAsia="Times New Roman" w:cs="Times New Roman"/>
                <w:szCs w:val="24"/>
              </w:rPr>
            </w:pPr>
            <w:r w:rsidRPr="00F4161B">
              <w:rPr>
                <w:rFonts w:eastAsia="Times New Roman" w:cs="Times New Roman"/>
                <w:szCs w:val="24"/>
              </w:rPr>
              <w:t>19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spacing w:after="0"/>
              <w:contextualSpacing w:val="0"/>
              <w:rPr>
                <w:rFonts w:eastAsia="Times New Roman" w:cs="Times New Roman"/>
                <w:szCs w:val="24"/>
              </w:rPr>
            </w:pPr>
            <w:r w:rsidRPr="00F4161B">
              <w:rPr>
                <w:rFonts w:eastAsia="Times New Roman" w:cs="Times New Roman"/>
                <w:szCs w:val="24"/>
              </w:rPr>
              <w:t>µg/L</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510DE" w:rsidP="00F4161B">
            <w:pPr>
              <w:spacing w:after="0"/>
              <w:contextualSpacing w:val="0"/>
              <w:rPr>
                <w:rFonts w:eastAsia="Times New Roman" w:cs="Times New Roman"/>
                <w:szCs w:val="24"/>
              </w:rPr>
            </w:pPr>
            <w:r>
              <w:rPr>
                <w:rFonts w:eastAsia="Times New Roman" w:cs="Times New Roman"/>
                <w:szCs w:val="24"/>
              </w:rPr>
              <w:t>GFAA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spacing w:after="0"/>
              <w:contextualSpacing w:val="0"/>
              <w:rPr>
                <w:rFonts w:eastAsia="Times New Roman" w:cs="Times New Roman"/>
                <w:szCs w:val="24"/>
              </w:rPr>
            </w:pPr>
            <w:r w:rsidRPr="00F4161B">
              <w:rPr>
                <w:rFonts w:eastAsia="Times New Roman" w:cs="Times New Roman"/>
                <w:szCs w:val="24"/>
              </w:rPr>
              <w:t>95.0</w:t>
            </w:r>
          </w:p>
        </w:tc>
      </w:tr>
      <w:tr w:rsidR="00F4161B" w:rsidRPr="00F4161B" w:rsidTr="00F4161B">
        <w:trPr>
          <w:trHeight w:val="317"/>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spacing w:after="0"/>
              <w:contextualSpacing w:val="0"/>
              <w:rPr>
                <w:rFonts w:eastAsia="Times New Roman" w:cs="Times New Roman"/>
                <w:bCs/>
                <w:szCs w:val="24"/>
              </w:rPr>
            </w:pPr>
            <w:r w:rsidRPr="00F4161B">
              <w:rPr>
                <w:rFonts w:eastAsia="Times New Roman" w:cs="Times New Roman"/>
                <w:bCs/>
                <w:szCs w:val="24"/>
              </w:rPr>
              <w:t>Standard Labs (NEST)</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spacing w:after="0"/>
              <w:contextualSpacing w:val="0"/>
              <w:rPr>
                <w:rFonts w:eastAsia="Times New Roman" w:cs="Times New Roman"/>
                <w:bCs/>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spacing w:after="0"/>
              <w:contextualSpacing w:val="0"/>
              <w:rPr>
                <w:rFonts w:eastAsia="Times New Roman" w:cs="Times New Roman"/>
                <w:szCs w:val="24"/>
              </w:rPr>
            </w:pPr>
            <w:r w:rsidRPr="00F4161B">
              <w:rPr>
                <w:rFonts w:eastAsia="Times New Roman" w:cs="Times New Roman"/>
                <w:szCs w:val="24"/>
              </w:rPr>
              <w:t>13.38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spacing w:after="0"/>
              <w:contextualSpacing w:val="0"/>
              <w:rPr>
                <w:rFonts w:eastAsia="Times New Roman" w:cs="Times New Roman"/>
                <w:szCs w:val="24"/>
              </w:rPr>
            </w:pPr>
            <w:r w:rsidRPr="00F4161B">
              <w:rPr>
                <w:rFonts w:eastAsia="Times New Roman" w:cs="Times New Roman"/>
                <w:szCs w:val="24"/>
              </w:rPr>
              <w:t>µg/L</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510DE" w:rsidP="00F4161B">
            <w:pPr>
              <w:spacing w:after="0"/>
              <w:contextualSpacing w:val="0"/>
              <w:rPr>
                <w:rFonts w:eastAsia="Times New Roman" w:cs="Times New Roman"/>
                <w:szCs w:val="24"/>
              </w:rPr>
            </w:pPr>
            <w:r>
              <w:rPr>
                <w:rFonts w:eastAsia="Times New Roman" w:cs="Times New Roman"/>
                <w:szCs w:val="24"/>
              </w:rPr>
              <w:t>GFAA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spacing w:after="0"/>
              <w:contextualSpacing w:val="0"/>
              <w:rPr>
                <w:rFonts w:eastAsia="Times New Roman" w:cs="Times New Roman"/>
                <w:szCs w:val="24"/>
              </w:rPr>
            </w:pPr>
            <w:r w:rsidRPr="00F4161B">
              <w:rPr>
                <w:rFonts w:eastAsia="Times New Roman" w:cs="Times New Roman"/>
                <w:szCs w:val="24"/>
              </w:rPr>
              <w:t>66.9</w:t>
            </w:r>
          </w:p>
        </w:tc>
      </w:tr>
      <w:tr w:rsidR="00F4161B" w:rsidRPr="00F4161B" w:rsidTr="00F4161B">
        <w:trPr>
          <w:trHeight w:val="317"/>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spacing w:after="0"/>
              <w:contextualSpacing w:val="0"/>
              <w:rPr>
                <w:rFonts w:eastAsia="Times New Roman" w:cs="Times New Roman"/>
                <w:bCs/>
                <w:szCs w:val="24"/>
              </w:rPr>
            </w:pPr>
            <w:r w:rsidRPr="00F4161B">
              <w:rPr>
                <w:rFonts w:eastAsia="Times New Roman" w:cs="Times New Roman"/>
                <w:bCs/>
                <w:szCs w:val="24"/>
              </w:rPr>
              <w:t>REI Consultants</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spacing w:after="0"/>
              <w:contextualSpacing w:val="0"/>
              <w:rPr>
                <w:rFonts w:eastAsia="Times New Roman" w:cs="Times New Roman"/>
                <w:bCs/>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spacing w:after="0"/>
              <w:contextualSpacing w:val="0"/>
              <w:rPr>
                <w:rFonts w:eastAsia="Times New Roman" w:cs="Times New Roman"/>
                <w:szCs w:val="24"/>
              </w:rPr>
            </w:pPr>
            <w:r w:rsidRPr="00F4161B">
              <w:rPr>
                <w:rFonts w:eastAsia="Times New Roman" w:cs="Times New Roman"/>
                <w:szCs w:val="24"/>
              </w:rPr>
              <w:t>23.7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spacing w:after="0"/>
              <w:contextualSpacing w:val="0"/>
              <w:rPr>
                <w:rFonts w:eastAsia="Times New Roman" w:cs="Times New Roman"/>
                <w:szCs w:val="24"/>
              </w:rPr>
            </w:pPr>
            <w:r w:rsidRPr="00F4161B">
              <w:rPr>
                <w:rFonts w:eastAsia="Times New Roman" w:cs="Times New Roman"/>
                <w:szCs w:val="24"/>
              </w:rPr>
              <w:t>µg/L</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510DE" w:rsidP="00F4161B">
            <w:pPr>
              <w:spacing w:after="0"/>
              <w:contextualSpacing w:val="0"/>
              <w:rPr>
                <w:rFonts w:eastAsia="Times New Roman" w:cs="Times New Roman"/>
                <w:szCs w:val="24"/>
              </w:rPr>
            </w:pPr>
            <w:r>
              <w:rPr>
                <w:rFonts w:eastAsia="Times New Roman" w:cs="Times New Roman"/>
                <w:szCs w:val="24"/>
              </w:rPr>
              <w:t>GFAA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spacing w:after="0"/>
              <w:contextualSpacing w:val="0"/>
              <w:rPr>
                <w:rFonts w:eastAsia="Times New Roman" w:cs="Times New Roman"/>
                <w:szCs w:val="24"/>
              </w:rPr>
            </w:pPr>
            <w:r w:rsidRPr="00F4161B">
              <w:rPr>
                <w:rFonts w:eastAsia="Times New Roman" w:cs="Times New Roman"/>
                <w:szCs w:val="24"/>
              </w:rPr>
              <w:t>118.5</w:t>
            </w:r>
          </w:p>
        </w:tc>
      </w:tr>
      <w:tr w:rsidR="00F4161B" w:rsidRPr="00F4161B" w:rsidTr="00F4161B">
        <w:trPr>
          <w:trHeight w:val="317"/>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spacing w:after="0"/>
              <w:contextualSpacing w:val="0"/>
              <w:rPr>
                <w:rFonts w:eastAsia="Times New Roman" w:cs="Times New Roman"/>
                <w:bCs/>
                <w:szCs w:val="24"/>
              </w:rPr>
            </w:pPr>
            <w:r w:rsidRPr="00F4161B">
              <w:rPr>
                <w:rFonts w:eastAsia="Times New Roman" w:cs="Times New Roman"/>
                <w:bCs/>
                <w:szCs w:val="24"/>
              </w:rPr>
              <w:t>Sturm Environmental</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spacing w:after="0"/>
              <w:contextualSpacing w:val="0"/>
              <w:rPr>
                <w:rFonts w:eastAsia="Times New Roman" w:cs="Times New Roman"/>
                <w:bCs/>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spacing w:after="0"/>
              <w:contextualSpacing w:val="0"/>
              <w:rPr>
                <w:rFonts w:eastAsia="Times New Roman" w:cs="Times New Roman"/>
                <w:szCs w:val="24"/>
              </w:rPr>
            </w:pPr>
            <w:r w:rsidRPr="00F4161B">
              <w:rPr>
                <w:rFonts w:eastAsia="Times New Roman" w:cs="Times New Roman"/>
                <w:szCs w:val="24"/>
              </w:rPr>
              <w:t>19.7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spacing w:after="0"/>
              <w:contextualSpacing w:val="0"/>
              <w:rPr>
                <w:rFonts w:eastAsia="Times New Roman" w:cs="Times New Roman"/>
                <w:szCs w:val="24"/>
              </w:rPr>
            </w:pPr>
            <w:r w:rsidRPr="00F4161B">
              <w:rPr>
                <w:rFonts w:eastAsia="Times New Roman" w:cs="Times New Roman"/>
                <w:szCs w:val="24"/>
              </w:rPr>
              <w:t>µg/L</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510DE" w:rsidP="00F4161B">
            <w:pPr>
              <w:spacing w:after="0"/>
              <w:contextualSpacing w:val="0"/>
              <w:rPr>
                <w:rFonts w:eastAsia="Times New Roman" w:cs="Times New Roman"/>
                <w:szCs w:val="24"/>
              </w:rPr>
            </w:pPr>
            <w:r>
              <w:rPr>
                <w:rFonts w:eastAsia="Times New Roman" w:cs="Times New Roman"/>
                <w:szCs w:val="24"/>
              </w:rPr>
              <w:t>GFAA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61B" w:rsidRPr="00F4161B" w:rsidRDefault="00F4161B" w:rsidP="00F4161B">
            <w:pPr>
              <w:spacing w:after="0"/>
              <w:contextualSpacing w:val="0"/>
              <w:rPr>
                <w:rFonts w:eastAsia="Times New Roman" w:cs="Times New Roman"/>
                <w:szCs w:val="24"/>
              </w:rPr>
            </w:pPr>
            <w:r w:rsidRPr="00F4161B">
              <w:rPr>
                <w:rFonts w:eastAsia="Times New Roman" w:cs="Times New Roman"/>
                <w:szCs w:val="24"/>
              </w:rPr>
              <w:t>98.5</w:t>
            </w:r>
          </w:p>
        </w:tc>
      </w:tr>
      <w:tr w:rsidR="002F6BAB" w:rsidRPr="00F4161B" w:rsidTr="00F4161B">
        <w:trPr>
          <w:trHeight w:val="317"/>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2F6BAB" w:rsidP="009F6C3F">
            <w:pPr>
              <w:spacing w:after="0"/>
              <w:contextualSpacing w:val="0"/>
              <w:rPr>
                <w:rFonts w:eastAsia="Times New Roman" w:cs="Times New Roman"/>
                <w:bCs/>
                <w:szCs w:val="24"/>
              </w:rPr>
            </w:pPr>
            <w:r w:rsidRPr="00F4161B">
              <w:rPr>
                <w:rFonts w:eastAsia="Times New Roman" w:cs="Times New Roman"/>
                <w:bCs/>
                <w:szCs w:val="24"/>
              </w:rPr>
              <w:t>Sturm Environmental</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2F6BAB" w:rsidP="009F6C3F">
            <w:pPr>
              <w:spacing w:after="0"/>
              <w:contextualSpacing w:val="0"/>
              <w:rPr>
                <w:rFonts w:eastAsia="Times New Roman" w:cs="Times New Roman"/>
                <w:bCs/>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2F6BAB" w:rsidP="009F6C3F">
            <w:pPr>
              <w:spacing w:after="0"/>
              <w:contextualSpacing w:val="0"/>
              <w:rPr>
                <w:rFonts w:eastAsia="Times New Roman" w:cs="Times New Roman"/>
                <w:szCs w:val="24"/>
              </w:rPr>
            </w:pPr>
            <w:r>
              <w:rPr>
                <w:rFonts w:eastAsia="Times New Roman" w:cs="Times New Roman"/>
                <w:szCs w:val="24"/>
              </w:rPr>
              <w:t>19.4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2F6BAB" w:rsidP="009F6C3F">
            <w:pPr>
              <w:spacing w:after="0"/>
              <w:contextualSpacing w:val="0"/>
              <w:rPr>
                <w:rFonts w:eastAsia="Times New Roman" w:cs="Times New Roman"/>
                <w:szCs w:val="24"/>
              </w:rPr>
            </w:pPr>
            <w:r w:rsidRPr="00F4161B">
              <w:rPr>
                <w:rFonts w:eastAsia="Times New Roman" w:cs="Times New Roman"/>
                <w:szCs w:val="24"/>
              </w:rPr>
              <w:t>µg/L</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F510DE" w:rsidP="009F6C3F">
            <w:pPr>
              <w:spacing w:after="0"/>
              <w:contextualSpacing w:val="0"/>
              <w:rPr>
                <w:rFonts w:eastAsia="Times New Roman" w:cs="Times New Roman"/>
                <w:szCs w:val="24"/>
              </w:rPr>
            </w:pPr>
            <w:r>
              <w:rPr>
                <w:rFonts w:eastAsia="Times New Roman" w:cs="Times New Roman"/>
                <w:szCs w:val="24"/>
              </w:rPr>
              <w:t>GFAA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2F6BAB" w:rsidP="009F6C3F">
            <w:pPr>
              <w:spacing w:after="0"/>
              <w:contextualSpacing w:val="0"/>
              <w:rPr>
                <w:rFonts w:eastAsia="Times New Roman" w:cs="Times New Roman"/>
                <w:szCs w:val="24"/>
              </w:rPr>
            </w:pPr>
            <w:r w:rsidRPr="00F4161B">
              <w:rPr>
                <w:rFonts w:eastAsia="Times New Roman" w:cs="Times New Roman"/>
                <w:szCs w:val="24"/>
              </w:rPr>
              <w:t>98.5</w:t>
            </w:r>
          </w:p>
        </w:tc>
      </w:tr>
      <w:tr w:rsidR="002F6BAB" w:rsidRPr="00F4161B" w:rsidTr="00F4161B">
        <w:trPr>
          <w:trHeight w:val="317"/>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2F6BAB" w:rsidP="00F4161B">
            <w:pPr>
              <w:spacing w:after="0"/>
              <w:contextualSpacing w:val="0"/>
              <w:rPr>
                <w:rFonts w:eastAsia="Times New Roman" w:cs="Times New Roman"/>
                <w:bCs/>
                <w:szCs w:val="24"/>
              </w:rPr>
            </w:pPr>
            <w:r w:rsidRPr="00F4161B">
              <w:rPr>
                <w:rFonts w:eastAsia="Times New Roman" w:cs="Times New Roman"/>
                <w:bCs/>
                <w:szCs w:val="24"/>
              </w:rPr>
              <w:t>Acculab</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2F6BAB" w:rsidP="00F4161B">
            <w:pPr>
              <w:spacing w:after="0"/>
              <w:contextualSpacing w:val="0"/>
              <w:rPr>
                <w:rFonts w:eastAsia="Times New Roman" w:cs="Times New Roman"/>
                <w:bCs/>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2F6BAB" w:rsidP="00F4161B">
            <w:pPr>
              <w:spacing w:after="0"/>
              <w:contextualSpacing w:val="0"/>
              <w:rPr>
                <w:rFonts w:eastAsia="Times New Roman" w:cs="Times New Roman"/>
                <w:szCs w:val="24"/>
              </w:rPr>
            </w:pPr>
            <w:r w:rsidRPr="00F4161B">
              <w:rPr>
                <w:rFonts w:eastAsia="Times New Roman" w:cs="Times New Roman"/>
                <w:szCs w:val="24"/>
              </w:rPr>
              <w:t>2.26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2F6BAB" w:rsidP="00F4161B">
            <w:pPr>
              <w:spacing w:after="0"/>
              <w:contextualSpacing w:val="0"/>
              <w:rPr>
                <w:rFonts w:eastAsia="Times New Roman" w:cs="Times New Roman"/>
                <w:szCs w:val="24"/>
              </w:rPr>
            </w:pPr>
            <w:r w:rsidRPr="00F4161B">
              <w:rPr>
                <w:rFonts w:eastAsia="Times New Roman" w:cs="Times New Roman"/>
                <w:szCs w:val="24"/>
              </w:rPr>
              <w:t>µg/L</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F510DE" w:rsidP="00F4161B">
            <w:pPr>
              <w:spacing w:after="0"/>
              <w:contextualSpacing w:val="0"/>
              <w:rPr>
                <w:rFonts w:eastAsia="Times New Roman" w:cs="Times New Roman"/>
                <w:szCs w:val="24"/>
              </w:rPr>
            </w:pPr>
            <w:r>
              <w:rPr>
                <w:rFonts w:eastAsia="Times New Roman" w:cs="Times New Roman"/>
                <w:szCs w:val="24"/>
              </w:rPr>
              <w:t>GFAA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2F6BAB" w:rsidP="00F4161B">
            <w:pPr>
              <w:spacing w:after="0"/>
              <w:contextualSpacing w:val="0"/>
              <w:rPr>
                <w:rFonts w:eastAsia="Times New Roman" w:cs="Times New Roman"/>
                <w:szCs w:val="24"/>
              </w:rPr>
            </w:pPr>
            <w:r w:rsidRPr="00F4161B">
              <w:rPr>
                <w:rFonts w:eastAsia="Times New Roman" w:cs="Times New Roman"/>
                <w:szCs w:val="24"/>
              </w:rPr>
              <w:t>11.3</w:t>
            </w:r>
          </w:p>
        </w:tc>
      </w:tr>
      <w:tr w:rsidR="002F6BAB" w:rsidRPr="00F4161B" w:rsidTr="00F4161B">
        <w:trPr>
          <w:trHeight w:val="317"/>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2F6BAB" w:rsidP="00F4161B">
            <w:pPr>
              <w:spacing w:after="0"/>
              <w:contextualSpacing w:val="0"/>
              <w:rPr>
                <w:rFonts w:eastAsia="Times New Roman" w:cs="Times New Roman"/>
                <w:bCs/>
                <w:szCs w:val="24"/>
              </w:rPr>
            </w:pPr>
            <w:r w:rsidRPr="00F4161B">
              <w:rPr>
                <w:rFonts w:eastAsia="Times New Roman" w:cs="Times New Roman"/>
                <w:bCs/>
                <w:szCs w:val="24"/>
              </w:rPr>
              <w:t>Compliance Monitoring</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2F6BAB" w:rsidP="00F4161B">
            <w:pPr>
              <w:spacing w:after="0"/>
              <w:contextualSpacing w:val="0"/>
              <w:rPr>
                <w:rFonts w:eastAsia="Times New Roman" w:cs="Times New Roman"/>
                <w:bCs/>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2F6BAB" w:rsidP="00F4161B">
            <w:pPr>
              <w:spacing w:after="0"/>
              <w:contextualSpacing w:val="0"/>
              <w:rPr>
                <w:rFonts w:eastAsia="Times New Roman" w:cs="Times New Roman"/>
                <w:szCs w:val="24"/>
              </w:rPr>
            </w:pPr>
            <w:r w:rsidRPr="00F4161B">
              <w:rPr>
                <w:rFonts w:eastAsia="Times New Roman" w:cs="Times New Roman"/>
                <w:szCs w:val="24"/>
              </w:rPr>
              <w:t>15.8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2F6BAB" w:rsidP="00F4161B">
            <w:pPr>
              <w:spacing w:after="0"/>
              <w:contextualSpacing w:val="0"/>
              <w:rPr>
                <w:rFonts w:eastAsia="Times New Roman" w:cs="Times New Roman"/>
                <w:szCs w:val="24"/>
              </w:rPr>
            </w:pPr>
            <w:r w:rsidRPr="00F4161B">
              <w:rPr>
                <w:rFonts w:eastAsia="Times New Roman" w:cs="Times New Roman"/>
                <w:szCs w:val="24"/>
              </w:rPr>
              <w:t>µg/L</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CB3929" w:rsidP="00F4161B">
            <w:pPr>
              <w:spacing w:after="0"/>
              <w:contextualSpacing w:val="0"/>
              <w:rPr>
                <w:rFonts w:eastAsia="Times New Roman" w:cs="Times New Roman"/>
                <w:szCs w:val="24"/>
              </w:rPr>
            </w:pPr>
            <w:r>
              <w:rPr>
                <w:rFonts w:eastAsia="Times New Roman" w:cs="Times New Roman"/>
                <w:szCs w:val="24"/>
              </w:rPr>
              <w:t>GFAA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2F6BAB" w:rsidP="00F4161B">
            <w:pPr>
              <w:spacing w:after="0"/>
              <w:contextualSpacing w:val="0"/>
              <w:rPr>
                <w:rFonts w:eastAsia="Times New Roman" w:cs="Times New Roman"/>
                <w:szCs w:val="24"/>
              </w:rPr>
            </w:pPr>
            <w:r w:rsidRPr="00F4161B">
              <w:rPr>
                <w:rFonts w:eastAsia="Times New Roman" w:cs="Times New Roman"/>
                <w:szCs w:val="24"/>
              </w:rPr>
              <w:t>79.0</w:t>
            </w:r>
          </w:p>
        </w:tc>
      </w:tr>
      <w:tr w:rsidR="002F6BAB" w:rsidRPr="00F4161B" w:rsidTr="00F4161B">
        <w:trPr>
          <w:trHeight w:val="317"/>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2F6BAB" w:rsidP="00F4161B">
            <w:pPr>
              <w:spacing w:after="0"/>
              <w:contextualSpacing w:val="0"/>
              <w:rPr>
                <w:rFonts w:eastAsia="Times New Roman" w:cs="Times New Roman"/>
                <w:bCs/>
                <w:szCs w:val="24"/>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2F6BAB" w:rsidP="00F4161B">
            <w:pPr>
              <w:spacing w:after="0"/>
              <w:contextualSpacing w:val="0"/>
              <w:rPr>
                <w:rFonts w:eastAsia="Times New Roman" w:cs="Times New Roman"/>
                <w:bCs/>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2F6BAB" w:rsidP="00F4161B">
            <w:pPr>
              <w:spacing w:after="0"/>
              <w:contextualSpacing w:val="0"/>
              <w:rPr>
                <w:rFonts w:eastAsia="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2F6BAB" w:rsidP="00F4161B">
            <w:pPr>
              <w:spacing w:after="0"/>
              <w:contextualSpacing w:val="0"/>
              <w:rPr>
                <w:rFonts w:eastAsia="Times New Roman" w:cs="Times New Roman"/>
                <w:szCs w:val="24"/>
              </w:rPr>
            </w:pP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2F6BAB" w:rsidP="00F4161B">
            <w:pPr>
              <w:spacing w:after="0"/>
              <w:contextualSpacing w:val="0"/>
              <w:rPr>
                <w:rFonts w:eastAsia="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2F6BAB" w:rsidP="00F4161B">
            <w:pPr>
              <w:spacing w:after="0"/>
              <w:contextualSpacing w:val="0"/>
              <w:rPr>
                <w:rFonts w:eastAsia="Times New Roman" w:cs="Times New Roman"/>
                <w:szCs w:val="24"/>
              </w:rPr>
            </w:pPr>
          </w:p>
        </w:tc>
      </w:tr>
      <w:tr w:rsidR="002F6BAB" w:rsidRPr="00F4161B" w:rsidTr="00F4161B">
        <w:trPr>
          <w:trHeight w:val="317"/>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2F6BAB" w:rsidP="00F4161B">
            <w:pPr>
              <w:spacing w:after="0"/>
              <w:contextualSpacing w:val="0"/>
              <w:rPr>
                <w:rFonts w:eastAsia="Times New Roman" w:cs="Times New Roman"/>
                <w:bCs/>
                <w:szCs w:val="24"/>
              </w:rPr>
            </w:pPr>
            <w:r w:rsidRPr="00F4161B">
              <w:rPr>
                <w:rFonts w:eastAsia="Times New Roman" w:cs="Times New Roman"/>
                <w:bCs/>
                <w:szCs w:val="24"/>
              </w:rPr>
              <w:t>Average, All data</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2F6BAB" w:rsidP="00F4161B">
            <w:pPr>
              <w:spacing w:after="0"/>
              <w:contextualSpacing w:val="0"/>
              <w:rPr>
                <w:rFonts w:eastAsia="Times New Roman" w:cs="Times New Roman"/>
                <w:bCs/>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8A3BC4" w:rsidP="00F4161B">
            <w:pPr>
              <w:spacing w:after="0"/>
              <w:contextualSpacing w:val="0"/>
              <w:rPr>
                <w:rFonts w:eastAsia="Times New Roman" w:cs="Times New Roman"/>
                <w:szCs w:val="24"/>
              </w:rPr>
            </w:pPr>
            <w:r>
              <w:rPr>
                <w:rFonts w:eastAsia="Times New Roman" w:cs="Times New Roman"/>
                <w:szCs w:val="24"/>
              </w:rPr>
              <w:t>16.2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2F6BAB" w:rsidP="00F4161B">
            <w:pPr>
              <w:spacing w:after="0"/>
              <w:contextualSpacing w:val="0"/>
              <w:rPr>
                <w:rFonts w:eastAsia="Times New Roman" w:cs="Times New Roman"/>
                <w:szCs w:val="24"/>
              </w:rPr>
            </w:pPr>
            <w:r w:rsidRPr="00F4161B">
              <w:rPr>
                <w:rFonts w:eastAsia="Times New Roman" w:cs="Times New Roman"/>
                <w:szCs w:val="24"/>
              </w:rPr>
              <w:t>µg/L</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2F6BAB" w:rsidP="00F4161B">
            <w:pPr>
              <w:spacing w:after="0"/>
              <w:contextualSpacing w:val="0"/>
              <w:rPr>
                <w:rFonts w:eastAsia="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2F6BAB" w:rsidP="00F4161B">
            <w:pPr>
              <w:spacing w:after="0"/>
              <w:contextualSpacing w:val="0"/>
              <w:rPr>
                <w:rFonts w:eastAsia="Times New Roman" w:cs="Times New Roman"/>
                <w:szCs w:val="24"/>
              </w:rPr>
            </w:pPr>
            <w:r>
              <w:rPr>
                <w:rFonts w:eastAsia="Times New Roman" w:cs="Times New Roman"/>
                <w:szCs w:val="24"/>
              </w:rPr>
              <w:t>80.9</w:t>
            </w:r>
          </w:p>
        </w:tc>
      </w:tr>
      <w:tr w:rsidR="002F6BAB" w:rsidRPr="00F4161B" w:rsidTr="00F4161B">
        <w:trPr>
          <w:trHeight w:val="317"/>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2F6BAB" w:rsidP="00F4161B">
            <w:pPr>
              <w:spacing w:after="0"/>
              <w:contextualSpacing w:val="0"/>
              <w:rPr>
                <w:rFonts w:eastAsia="Times New Roman" w:cs="Times New Roman"/>
                <w:bCs/>
                <w:szCs w:val="24"/>
              </w:rPr>
            </w:pPr>
            <w:r w:rsidRPr="00F4161B">
              <w:rPr>
                <w:rFonts w:eastAsia="Times New Roman" w:cs="Times New Roman"/>
                <w:bCs/>
                <w:szCs w:val="24"/>
              </w:rPr>
              <w:t>Average, GFAA</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2F6BAB" w:rsidP="00F4161B">
            <w:pPr>
              <w:spacing w:after="0"/>
              <w:contextualSpacing w:val="0"/>
              <w:rPr>
                <w:rFonts w:eastAsia="Times New Roman" w:cs="Times New Roman"/>
                <w:bCs/>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3BC4" w:rsidRPr="008A3BC4" w:rsidRDefault="008A3BC4" w:rsidP="008A3BC4">
            <w:pPr>
              <w:spacing w:after="0"/>
              <w:contextualSpacing w:val="0"/>
              <w:rPr>
                <w:rFonts w:eastAsia="Times New Roman" w:cs="Times New Roman"/>
                <w:szCs w:val="24"/>
              </w:rPr>
            </w:pPr>
            <w:r>
              <w:rPr>
                <w:rFonts w:eastAsia="Times New Roman" w:cs="Times New Roman"/>
                <w:szCs w:val="24"/>
              </w:rPr>
              <w:t>16.2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2F6BAB" w:rsidP="00F4161B">
            <w:pPr>
              <w:spacing w:after="0"/>
              <w:contextualSpacing w:val="0"/>
              <w:rPr>
                <w:rFonts w:eastAsia="Times New Roman" w:cs="Times New Roman"/>
                <w:szCs w:val="24"/>
              </w:rPr>
            </w:pPr>
            <w:r w:rsidRPr="00F4161B">
              <w:rPr>
                <w:rFonts w:eastAsia="Times New Roman" w:cs="Times New Roman"/>
                <w:szCs w:val="24"/>
              </w:rPr>
              <w:t>µg/L</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2F6BAB" w:rsidP="00F4161B">
            <w:pPr>
              <w:spacing w:after="0"/>
              <w:contextualSpacing w:val="0"/>
              <w:rPr>
                <w:rFonts w:eastAsia="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2F6BAB" w:rsidP="00F4161B">
            <w:pPr>
              <w:spacing w:after="0"/>
              <w:contextualSpacing w:val="0"/>
              <w:rPr>
                <w:rFonts w:eastAsia="Times New Roman" w:cs="Times New Roman"/>
                <w:szCs w:val="24"/>
              </w:rPr>
            </w:pPr>
            <w:r>
              <w:rPr>
                <w:rFonts w:eastAsia="Times New Roman" w:cs="Times New Roman"/>
                <w:szCs w:val="24"/>
              </w:rPr>
              <w:t>80.9</w:t>
            </w:r>
          </w:p>
        </w:tc>
      </w:tr>
      <w:tr w:rsidR="002F6BAB" w:rsidRPr="00F4161B" w:rsidTr="00F4161B">
        <w:trPr>
          <w:trHeight w:val="317"/>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2F6BAB" w:rsidP="00F4161B">
            <w:pPr>
              <w:spacing w:after="0"/>
              <w:contextualSpacing w:val="0"/>
              <w:rPr>
                <w:rFonts w:eastAsia="Times New Roman" w:cs="Times New Roman"/>
                <w:bCs/>
                <w:szCs w:val="24"/>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2F6BAB" w:rsidP="00F4161B">
            <w:pPr>
              <w:spacing w:after="0"/>
              <w:contextualSpacing w:val="0"/>
              <w:rPr>
                <w:rFonts w:eastAsia="Times New Roman" w:cs="Times New Roman"/>
                <w:bCs/>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2F6BAB" w:rsidP="00F4161B">
            <w:pPr>
              <w:spacing w:after="0"/>
              <w:contextualSpacing w:val="0"/>
              <w:rPr>
                <w:rFonts w:eastAsia="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2F6BAB" w:rsidP="00F4161B">
            <w:pPr>
              <w:spacing w:after="0"/>
              <w:contextualSpacing w:val="0"/>
              <w:rPr>
                <w:rFonts w:eastAsia="Times New Roman" w:cs="Times New Roman"/>
                <w:szCs w:val="24"/>
              </w:rPr>
            </w:pP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2F6BAB" w:rsidP="00F4161B">
            <w:pPr>
              <w:spacing w:after="0"/>
              <w:contextualSpacing w:val="0"/>
              <w:rPr>
                <w:rFonts w:eastAsia="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2F6BAB" w:rsidP="00F4161B">
            <w:pPr>
              <w:spacing w:after="0"/>
              <w:contextualSpacing w:val="0"/>
              <w:rPr>
                <w:rFonts w:eastAsia="Times New Roman" w:cs="Times New Roman"/>
                <w:szCs w:val="24"/>
              </w:rPr>
            </w:pPr>
          </w:p>
        </w:tc>
      </w:tr>
      <w:tr w:rsidR="002F6BAB" w:rsidRPr="00F4161B" w:rsidTr="00F4161B">
        <w:trPr>
          <w:trHeight w:val="317"/>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2F6BAB" w:rsidP="00F4161B">
            <w:pPr>
              <w:spacing w:after="0"/>
              <w:contextualSpacing w:val="0"/>
              <w:rPr>
                <w:rFonts w:eastAsia="Times New Roman" w:cs="Times New Roman"/>
                <w:bCs/>
                <w:szCs w:val="24"/>
              </w:rPr>
            </w:pPr>
            <w:r w:rsidRPr="00F4161B">
              <w:rPr>
                <w:rFonts w:eastAsia="Times New Roman" w:cs="Times New Roman"/>
                <w:bCs/>
                <w:szCs w:val="24"/>
              </w:rPr>
              <w:t>Referee</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2F6BAB" w:rsidP="00F4161B">
            <w:pPr>
              <w:spacing w:after="0"/>
              <w:contextualSpacing w:val="0"/>
              <w:rPr>
                <w:rFonts w:eastAsia="Times New Roman" w:cs="Times New Roman"/>
                <w:bCs/>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2F6BAB" w:rsidP="00F4161B">
            <w:pPr>
              <w:spacing w:after="0"/>
              <w:contextualSpacing w:val="0"/>
              <w:rPr>
                <w:rFonts w:eastAsia="Times New Roman" w:cs="Times New Roman"/>
                <w:szCs w:val="24"/>
              </w:rPr>
            </w:pPr>
            <w:r w:rsidRPr="00F4161B">
              <w:rPr>
                <w:rFonts w:eastAsia="Times New Roman" w:cs="Times New Roman"/>
                <w:szCs w:val="24"/>
              </w:rPr>
              <w:t>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2F6BAB" w:rsidP="00F4161B">
            <w:pPr>
              <w:spacing w:after="0"/>
              <w:contextualSpacing w:val="0"/>
              <w:rPr>
                <w:rFonts w:eastAsia="Times New Roman" w:cs="Times New Roman"/>
                <w:szCs w:val="24"/>
              </w:rPr>
            </w:pPr>
            <w:r w:rsidRPr="00F4161B">
              <w:rPr>
                <w:rFonts w:eastAsia="Times New Roman" w:cs="Times New Roman"/>
                <w:szCs w:val="24"/>
              </w:rPr>
              <w:t>µg/L</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CB3929" w:rsidP="00F4161B">
            <w:pPr>
              <w:spacing w:after="0"/>
              <w:contextualSpacing w:val="0"/>
              <w:rPr>
                <w:rFonts w:eastAsia="Times New Roman" w:cs="Times New Roman"/>
                <w:szCs w:val="24"/>
              </w:rPr>
            </w:pPr>
            <w:r>
              <w:rPr>
                <w:rFonts w:eastAsia="Times New Roman" w:cs="Times New Roman"/>
                <w:szCs w:val="24"/>
              </w:rPr>
              <w:t>ICP/MS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BAB" w:rsidRPr="00F4161B" w:rsidRDefault="002F6BAB" w:rsidP="00F4161B">
            <w:pPr>
              <w:spacing w:after="0"/>
              <w:contextualSpacing w:val="0"/>
              <w:rPr>
                <w:rFonts w:eastAsia="Times New Roman" w:cs="Times New Roman"/>
                <w:szCs w:val="24"/>
              </w:rPr>
            </w:pPr>
            <w:r w:rsidRPr="00F4161B">
              <w:rPr>
                <w:rFonts w:eastAsia="Times New Roman" w:cs="Times New Roman"/>
                <w:szCs w:val="24"/>
              </w:rPr>
              <w:t>100.0</w:t>
            </w:r>
          </w:p>
        </w:tc>
      </w:tr>
    </w:tbl>
    <w:p w:rsidR="00EF55FC" w:rsidRDefault="00EF55FC" w:rsidP="00EF55FC">
      <w:pPr>
        <w:pStyle w:val="NoSpacing"/>
      </w:pPr>
    </w:p>
    <w:p w:rsidR="00EF55FC" w:rsidRDefault="00EF55FC" w:rsidP="00AF7A5F">
      <w:pPr>
        <w:pStyle w:val="NoSpacing"/>
      </w:pPr>
    </w:p>
    <w:p w:rsidR="00EF55FC" w:rsidRDefault="00EF55FC" w:rsidP="00EF55FC"/>
    <w:p w:rsidR="00EF55FC" w:rsidRDefault="00EF55FC" w:rsidP="00EF55FC"/>
    <w:p w:rsidR="00EF55FC" w:rsidRDefault="00EF55FC" w:rsidP="00EF55FC"/>
    <w:p w:rsidR="00EF55FC" w:rsidRDefault="00EF55FC" w:rsidP="00EF55FC"/>
    <w:p w:rsidR="00EF55FC" w:rsidRDefault="00EF55FC" w:rsidP="00EF55FC"/>
    <w:p w:rsidR="00EF55FC" w:rsidRDefault="00EF55FC" w:rsidP="00EF55FC"/>
    <w:p w:rsidR="00EF55FC" w:rsidRDefault="00EF55FC" w:rsidP="00EF55FC"/>
    <w:p w:rsidR="00EF55FC" w:rsidRDefault="00EF55FC" w:rsidP="00EF55FC"/>
    <w:p w:rsidR="00EF55FC" w:rsidRDefault="00EF55FC" w:rsidP="00EF55FC"/>
    <w:p w:rsidR="00EF55FC" w:rsidRDefault="00EF55FC" w:rsidP="00EF55FC"/>
    <w:p w:rsidR="00EF55FC" w:rsidRDefault="00EF55FC" w:rsidP="00EF55FC"/>
    <w:p w:rsidR="00EF55FC" w:rsidRDefault="00EF55FC" w:rsidP="00EF55FC"/>
    <w:p w:rsidR="00EF55FC" w:rsidRDefault="00EF55FC" w:rsidP="00EF55FC"/>
    <w:p w:rsidR="00EF55FC" w:rsidRDefault="00EF55FC" w:rsidP="00EF55FC"/>
    <w:p w:rsidR="00EF55FC" w:rsidRDefault="00EF55FC" w:rsidP="00EF55FC"/>
    <w:p w:rsidR="00EF55FC" w:rsidRDefault="00EF55FC" w:rsidP="00EF55FC"/>
    <w:p w:rsidR="00EF55FC" w:rsidRDefault="00EF55FC" w:rsidP="00EF55FC"/>
    <w:p w:rsidR="00EF55FC" w:rsidRDefault="00EF55FC" w:rsidP="00EF55FC"/>
    <w:p w:rsidR="00EF55FC" w:rsidRDefault="00EF55FC" w:rsidP="00EF55FC"/>
    <w:p w:rsidR="00EF55FC" w:rsidRDefault="00EF55FC" w:rsidP="00EF55FC"/>
    <w:p w:rsidR="00EF55FC" w:rsidRDefault="00EF55FC" w:rsidP="00EF55FC"/>
    <w:p w:rsidR="00EF55FC" w:rsidRDefault="00EF55FC" w:rsidP="00EF55FC"/>
    <w:p w:rsidR="00EF55FC" w:rsidRDefault="00EF55FC" w:rsidP="00EF55FC"/>
    <w:p w:rsidR="00AE089D" w:rsidRDefault="00AE089D" w:rsidP="00EF55FC"/>
    <w:p w:rsidR="00EF55FC" w:rsidRDefault="00EF55FC" w:rsidP="00EF55FC">
      <w:r>
        <w:lastRenderedPageBreak/>
        <w:t>The following chart gives a visual depiction of the raw results from Phase III 20 µg/L sample.</w:t>
      </w:r>
    </w:p>
    <w:p w:rsidR="00EF55FC" w:rsidRDefault="00EF55FC" w:rsidP="00AF7A5F">
      <w:pPr>
        <w:pStyle w:val="NoSpacing"/>
        <w:rPr>
          <w:b/>
        </w:rPr>
      </w:pPr>
      <w:r w:rsidRPr="00CB3929">
        <w:rPr>
          <w:b/>
          <w:sz w:val="32"/>
          <w:szCs w:val="32"/>
        </w:rPr>
        <w:t xml:space="preserve">Chart </w:t>
      </w:r>
      <w:r w:rsidR="00CB3929">
        <w:rPr>
          <w:b/>
          <w:sz w:val="32"/>
          <w:szCs w:val="32"/>
        </w:rPr>
        <w:t>7</w:t>
      </w:r>
      <w:r w:rsidRPr="00EF55FC">
        <w:rPr>
          <w:b/>
        </w:rPr>
        <w:t>.</w:t>
      </w:r>
    </w:p>
    <w:p w:rsidR="00EF55FC" w:rsidRDefault="00EF55FC" w:rsidP="00AF7A5F">
      <w:pPr>
        <w:pStyle w:val="NoSpacing"/>
        <w:rPr>
          <w:b/>
        </w:rPr>
      </w:pPr>
    </w:p>
    <w:p w:rsidR="00EF55FC" w:rsidRDefault="002310BB" w:rsidP="00AF7A5F">
      <w:pPr>
        <w:pStyle w:val="NoSpacing"/>
      </w:pPr>
      <w:r w:rsidRPr="002310BB">
        <w:rPr>
          <w:noProof/>
        </w:rPr>
        <w:drawing>
          <wp:inline distT="0" distB="0" distL="0" distR="0">
            <wp:extent cx="5943600" cy="5200650"/>
            <wp:effectExtent l="19050" t="0" r="19050"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F55FC" w:rsidRDefault="00EF55FC" w:rsidP="00AF7A5F">
      <w:pPr>
        <w:pStyle w:val="NoSpacing"/>
      </w:pPr>
    </w:p>
    <w:tbl>
      <w:tblPr>
        <w:tblW w:w="6228" w:type="dxa"/>
        <w:tblInd w:w="108" w:type="dxa"/>
        <w:tblLook w:val="04A0"/>
      </w:tblPr>
      <w:tblGrid>
        <w:gridCol w:w="2645"/>
        <w:gridCol w:w="850"/>
        <w:gridCol w:w="1883"/>
        <w:gridCol w:w="850"/>
      </w:tblGrid>
      <w:tr w:rsidR="00CB3929" w:rsidRPr="00C71448" w:rsidTr="007407E5">
        <w:trPr>
          <w:trHeight w:val="325"/>
        </w:trPr>
        <w:tc>
          <w:tcPr>
            <w:tcW w:w="2645" w:type="dxa"/>
            <w:tcBorders>
              <w:top w:val="nil"/>
              <w:left w:val="nil"/>
              <w:bottom w:val="nil"/>
              <w:right w:val="nil"/>
            </w:tcBorders>
            <w:shd w:val="clear" w:color="auto" w:fill="auto"/>
            <w:noWrap/>
            <w:vAlign w:val="bottom"/>
            <w:hideMark/>
          </w:tcPr>
          <w:p w:rsidR="00CB3929" w:rsidRPr="00C71448" w:rsidRDefault="00CB3929" w:rsidP="004A23A7">
            <w:pPr>
              <w:spacing w:after="0"/>
              <w:contextualSpacing w:val="0"/>
              <w:rPr>
                <w:rFonts w:eastAsia="Times New Roman" w:cs="Times New Roman"/>
                <w:color w:val="000000"/>
                <w:szCs w:val="24"/>
              </w:rPr>
            </w:pPr>
            <w:r w:rsidRPr="00C71448">
              <w:rPr>
                <w:rFonts w:eastAsia="Times New Roman" w:cs="Times New Roman"/>
                <w:color w:val="000000"/>
                <w:szCs w:val="24"/>
              </w:rPr>
              <w:t>Graphite Furnace AA</w:t>
            </w:r>
          </w:p>
        </w:tc>
        <w:tc>
          <w:tcPr>
            <w:tcW w:w="850" w:type="dxa"/>
            <w:tcBorders>
              <w:top w:val="nil"/>
              <w:left w:val="nil"/>
              <w:bottom w:val="nil"/>
              <w:right w:val="nil"/>
            </w:tcBorders>
            <w:shd w:val="clear" w:color="000000" w:fill="FFFF00"/>
            <w:noWrap/>
            <w:vAlign w:val="bottom"/>
            <w:hideMark/>
          </w:tcPr>
          <w:p w:rsidR="00CB3929" w:rsidRPr="00C71448" w:rsidRDefault="00CB3929" w:rsidP="004A23A7">
            <w:pPr>
              <w:spacing w:after="0"/>
              <w:contextualSpacing w:val="0"/>
              <w:rPr>
                <w:rFonts w:ascii="Calibri" w:eastAsia="Times New Roman" w:hAnsi="Calibri" w:cs="Times New Roman"/>
                <w:color w:val="000000"/>
                <w:sz w:val="22"/>
              </w:rPr>
            </w:pPr>
            <w:r w:rsidRPr="00C71448">
              <w:rPr>
                <w:rFonts w:ascii="Calibri" w:eastAsia="Times New Roman" w:hAnsi="Calibri" w:cs="Times New Roman"/>
                <w:color w:val="000000"/>
                <w:sz w:val="22"/>
              </w:rPr>
              <w:t> </w:t>
            </w:r>
          </w:p>
        </w:tc>
        <w:tc>
          <w:tcPr>
            <w:tcW w:w="1883" w:type="dxa"/>
            <w:tcBorders>
              <w:top w:val="nil"/>
              <w:left w:val="nil"/>
              <w:bottom w:val="nil"/>
              <w:right w:val="nil"/>
            </w:tcBorders>
            <w:shd w:val="clear" w:color="auto" w:fill="auto"/>
            <w:noWrap/>
            <w:vAlign w:val="bottom"/>
            <w:hideMark/>
          </w:tcPr>
          <w:p w:rsidR="00CB3929" w:rsidRPr="00C71448" w:rsidRDefault="00CB3929" w:rsidP="004A23A7">
            <w:pPr>
              <w:spacing w:after="0"/>
              <w:contextualSpacing w:val="0"/>
              <w:rPr>
                <w:rFonts w:eastAsia="Times New Roman" w:cs="Times New Roman"/>
                <w:color w:val="000000"/>
                <w:szCs w:val="24"/>
              </w:rPr>
            </w:pPr>
            <w:r w:rsidRPr="00C71448">
              <w:rPr>
                <w:rFonts w:eastAsia="Times New Roman" w:cs="Times New Roman"/>
                <w:color w:val="000000"/>
                <w:szCs w:val="24"/>
              </w:rPr>
              <w:t>ICP- Mass Spec</w:t>
            </w:r>
          </w:p>
        </w:tc>
        <w:tc>
          <w:tcPr>
            <w:tcW w:w="850" w:type="dxa"/>
            <w:tcBorders>
              <w:top w:val="nil"/>
              <w:left w:val="nil"/>
              <w:bottom w:val="nil"/>
              <w:right w:val="nil"/>
            </w:tcBorders>
            <w:shd w:val="clear" w:color="auto" w:fill="0070C0"/>
            <w:noWrap/>
            <w:vAlign w:val="bottom"/>
            <w:hideMark/>
          </w:tcPr>
          <w:p w:rsidR="00CB3929" w:rsidRPr="00C71448" w:rsidRDefault="00CB3929" w:rsidP="004A23A7">
            <w:pPr>
              <w:spacing w:after="0"/>
              <w:contextualSpacing w:val="0"/>
              <w:rPr>
                <w:rFonts w:ascii="Calibri" w:eastAsia="Times New Roman" w:hAnsi="Calibri" w:cs="Times New Roman"/>
                <w:color w:val="000000"/>
                <w:sz w:val="22"/>
              </w:rPr>
            </w:pPr>
            <w:r w:rsidRPr="00C71448">
              <w:rPr>
                <w:rFonts w:ascii="Calibri" w:eastAsia="Times New Roman" w:hAnsi="Calibri" w:cs="Times New Roman"/>
                <w:color w:val="000000"/>
                <w:sz w:val="22"/>
              </w:rPr>
              <w:t> </w:t>
            </w:r>
          </w:p>
        </w:tc>
      </w:tr>
    </w:tbl>
    <w:p w:rsidR="00EF55FC" w:rsidRDefault="00EF55FC" w:rsidP="00AF7A5F">
      <w:pPr>
        <w:pStyle w:val="NoSpacing"/>
      </w:pPr>
    </w:p>
    <w:p w:rsidR="00EF55FC" w:rsidRDefault="00EF55FC" w:rsidP="00AF7A5F">
      <w:pPr>
        <w:pStyle w:val="NoSpacing"/>
      </w:pPr>
    </w:p>
    <w:p w:rsidR="00EF55FC" w:rsidRDefault="00EF55FC" w:rsidP="00AF7A5F">
      <w:pPr>
        <w:pStyle w:val="NoSpacing"/>
      </w:pPr>
    </w:p>
    <w:p w:rsidR="00EF55FC" w:rsidRDefault="00EF55FC" w:rsidP="00AF7A5F">
      <w:pPr>
        <w:pStyle w:val="NoSpacing"/>
      </w:pPr>
    </w:p>
    <w:p w:rsidR="00EF55FC" w:rsidRDefault="00EF55FC" w:rsidP="00AF7A5F">
      <w:pPr>
        <w:pStyle w:val="NoSpacing"/>
      </w:pPr>
    </w:p>
    <w:p w:rsidR="00EF55FC" w:rsidRDefault="00EF55FC" w:rsidP="00AF7A5F">
      <w:pPr>
        <w:pStyle w:val="NoSpacing"/>
      </w:pPr>
    </w:p>
    <w:p w:rsidR="00EF55FC" w:rsidRDefault="00EF55FC" w:rsidP="00AF7A5F">
      <w:pPr>
        <w:pStyle w:val="NoSpacing"/>
      </w:pPr>
    </w:p>
    <w:p w:rsidR="00EF55FC" w:rsidRDefault="00EF55FC" w:rsidP="00AF7A5F">
      <w:pPr>
        <w:pStyle w:val="NoSpacing"/>
      </w:pPr>
    </w:p>
    <w:p w:rsidR="00EF55FC" w:rsidRDefault="00EF55FC" w:rsidP="00AF7A5F">
      <w:pPr>
        <w:pStyle w:val="NoSpacing"/>
      </w:pPr>
    </w:p>
    <w:p w:rsidR="00EF55FC" w:rsidRDefault="00EF55FC" w:rsidP="00AF7A5F">
      <w:pPr>
        <w:pStyle w:val="NoSpacing"/>
      </w:pPr>
    </w:p>
    <w:p w:rsidR="00EF55FC" w:rsidRDefault="00EF55FC" w:rsidP="00AF7A5F">
      <w:pPr>
        <w:pStyle w:val="NoSpacing"/>
      </w:pPr>
    </w:p>
    <w:p w:rsidR="00EF55FC" w:rsidRDefault="00EF55FC" w:rsidP="00AF7A5F">
      <w:pPr>
        <w:pStyle w:val="NoSpacing"/>
      </w:pPr>
    </w:p>
    <w:p w:rsidR="00EF55FC" w:rsidRDefault="00EF55FC" w:rsidP="00EF55FC">
      <w:r>
        <w:t>The following chart gives a visual depiction of the percent recovery data for raw results from Phase III 20 µg/L sample.</w:t>
      </w:r>
    </w:p>
    <w:p w:rsidR="00EF55FC" w:rsidRPr="00CB3929" w:rsidRDefault="00EF55FC" w:rsidP="00AF7A5F">
      <w:pPr>
        <w:pStyle w:val="NoSpacing"/>
        <w:rPr>
          <w:b/>
          <w:sz w:val="32"/>
          <w:szCs w:val="32"/>
        </w:rPr>
      </w:pPr>
      <w:r w:rsidRPr="00CB3929">
        <w:rPr>
          <w:b/>
          <w:sz w:val="32"/>
          <w:szCs w:val="32"/>
        </w:rPr>
        <w:t xml:space="preserve">Chart </w:t>
      </w:r>
      <w:r w:rsidR="00CB3929">
        <w:rPr>
          <w:b/>
          <w:sz w:val="32"/>
          <w:szCs w:val="32"/>
        </w:rPr>
        <w:t>8</w:t>
      </w:r>
      <w:r w:rsidRPr="00CB3929">
        <w:rPr>
          <w:b/>
          <w:sz w:val="32"/>
          <w:szCs w:val="32"/>
        </w:rPr>
        <w:t>.</w:t>
      </w:r>
    </w:p>
    <w:p w:rsidR="00EF55FC" w:rsidRDefault="00EF55FC" w:rsidP="00AF7A5F">
      <w:pPr>
        <w:pStyle w:val="NoSpacing"/>
      </w:pPr>
    </w:p>
    <w:p w:rsidR="00EF55FC" w:rsidRDefault="002310BB" w:rsidP="00AF7A5F">
      <w:pPr>
        <w:pStyle w:val="NoSpacing"/>
      </w:pPr>
      <w:r w:rsidRPr="002310BB">
        <w:rPr>
          <w:noProof/>
        </w:rPr>
        <w:drawing>
          <wp:inline distT="0" distB="0" distL="0" distR="0">
            <wp:extent cx="5943600" cy="5200650"/>
            <wp:effectExtent l="19050" t="0" r="1905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F55FC" w:rsidRDefault="00EF55FC" w:rsidP="00AF7A5F">
      <w:pPr>
        <w:pStyle w:val="NoSpacing"/>
      </w:pPr>
    </w:p>
    <w:tbl>
      <w:tblPr>
        <w:tblW w:w="6228" w:type="dxa"/>
        <w:tblInd w:w="108" w:type="dxa"/>
        <w:tblLook w:val="04A0"/>
      </w:tblPr>
      <w:tblGrid>
        <w:gridCol w:w="2645"/>
        <w:gridCol w:w="850"/>
        <w:gridCol w:w="1883"/>
        <w:gridCol w:w="850"/>
      </w:tblGrid>
      <w:tr w:rsidR="00CB3929" w:rsidRPr="00C71448" w:rsidTr="007407E5">
        <w:trPr>
          <w:trHeight w:val="325"/>
        </w:trPr>
        <w:tc>
          <w:tcPr>
            <w:tcW w:w="2645" w:type="dxa"/>
            <w:tcBorders>
              <w:top w:val="nil"/>
              <w:left w:val="nil"/>
              <w:bottom w:val="nil"/>
              <w:right w:val="nil"/>
            </w:tcBorders>
            <w:shd w:val="clear" w:color="auto" w:fill="auto"/>
            <w:noWrap/>
            <w:vAlign w:val="bottom"/>
            <w:hideMark/>
          </w:tcPr>
          <w:p w:rsidR="00CB3929" w:rsidRPr="00C71448" w:rsidRDefault="00CB3929" w:rsidP="004A23A7">
            <w:pPr>
              <w:spacing w:after="0"/>
              <w:contextualSpacing w:val="0"/>
              <w:rPr>
                <w:rFonts w:eastAsia="Times New Roman" w:cs="Times New Roman"/>
                <w:color w:val="000000"/>
                <w:szCs w:val="24"/>
              </w:rPr>
            </w:pPr>
            <w:r w:rsidRPr="00C71448">
              <w:rPr>
                <w:rFonts w:eastAsia="Times New Roman" w:cs="Times New Roman"/>
                <w:color w:val="000000"/>
                <w:szCs w:val="24"/>
              </w:rPr>
              <w:t>Graphite Furnace AA</w:t>
            </w:r>
          </w:p>
        </w:tc>
        <w:tc>
          <w:tcPr>
            <w:tcW w:w="850" w:type="dxa"/>
            <w:tcBorders>
              <w:top w:val="nil"/>
              <w:left w:val="nil"/>
              <w:bottom w:val="nil"/>
              <w:right w:val="nil"/>
            </w:tcBorders>
            <w:shd w:val="clear" w:color="000000" w:fill="FFFF00"/>
            <w:noWrap/>
            <w:vAlign w:val="bottom"/>
            <w:hideMark/>
          </w:tcPr>
          <w:p w:rsidR="00CB3929" w:rsidRPr="00C71448" w:rsidRDefault="00CB3929" w:rsidP="004A23A7">
            <w:pPr>
              <w:spacing w:after="0"/>
              <w:contextualSpacing w:val="0"/>
              <w:rPr>
                <w:rFonts w:ascii="Calibri" w:eastAsia="Times New Roman" w:hAnsi="Calibri" w:cs="Times New Roman"/>
                <w:color w:val="000000"/>
                <w:sz w:val="22"/>
              </w:rPr>
            </w:pPr>
            <w:r w:rsidRPr="00C71448">
              <w:rPr>
                <w:rFonts w:ascii="Calibri" w:eastAsia="Times New Roman" w:hAnsi="Calibri" w:cs="Times New Roman"/>
                <w:color w:val="000000"/>
                <w:sz w:val="22"/>
              </w:rPr>
              <w:t> </w:t>
            </w:r>
          </w:p>
        </w:tc>
        <w:tc>
          <w:tcPr>
            <w:tcW w:w="1883" w:type="dxa"/>
            <w:tcBorders>
              <w:top w:val="nil"/>
              <w:left w:val="nil"/>
              <w:bottom w:val="nil"/>
              <w:right w:val="nil"/>
            </w:tcBorders>
            <w:shd w:val="clear" w:color="auto" w:fill="auto"/>
            <w:noWrap/>
            <w:vAlign w:val="bottom"/>
            <w:hideMark/>
          </w:tcPr>
          <w:p w:rsidR="00CB3929" w:rsidRPr="00C71448" w:rsidRDefault="00CB3929" w:rsidP="004A23A7">
            <w:pPr>
              <w:spacing w:after="0"/>
              <w:contextualSpacing w:val="0"/>
              <w:rPr>
                <w:rFonts w:eastAsia="Times New Roman" w:cs="Times New Roman"/>
                <w:color w:val="000000"/>
                <w:szCs w:val="24"/>
              </w:rPr>
            </w:pPr>
            <w:r w:rsidRPr="00C71448">
              <w:rPr>
                <w:rFonts w:eastAsia="Times New Roman" w:cs="Times New Roman"/>
                <w:color w:val="000000"/>
                <w:szCs w:val="24"/>
              </w:rPr>
              <w:t>ICP- Mass Spec</w:t>
            </w:r>
          </w:p>
        </w:tc>
        <w:tc>
          <w:tcPr>
            <w:tcW w:w="850" w:type="dxa"/>
            <w:tcBorders>
              <w:top w:val="nil"/>
              <w:left w:val="nil"/>
              <w:bottom w:val="nil"/>
              <w:right w:val="nil"/>
            </w:tcBorders>
            <w:shd w:val="clear" w:color="auto" w:fill="0070C0"/>
            <w:noWrap/>
            <w:vAlign w:val="bottom"/>
            <w:hideMark/>
          </w:tcPr>
          <w:p w:rsidR="00CB3929" w:rsidRPr="00C71448" w:rsidRDefault="00CB3929" w:rsidP="004A23A7">
            <w:pPr>
              <w:spacing w:after="0"/>
              <w:contextualSpacing w:val="0"/>
              <w:rPr>
                <w:rFonts w:ascii="Calibri" w:eastAsia="Times New Roman" w:hAnsi="Calibri" w:cs="Times New Roman"/>
                <w:color w:val="000000"/>
                <w:sz w:val="22"/>
              </w:rPr>
            </w:pPr>
            <w:r w:rsidRPr="00C71448">
              <w:rPr>
                <w:rFonts w:ascii="Calibri" w:eastAsia="Times New Roman" w:hAnsi="Calibri" w:cs="Times New Roman"/>
                <w:color w:val="000000"/>
                <w:sz w:val="22"/>
              </w:rPr>
              <w:t> </w:t>
            </w:r>
          </w:p>
        </w:tc>
      </w:tr>
    </w:tbl>
    <w:p w:rsidR="00CB3929" w:rsidRDefault="00CB3929" w:rsidP="00CB3929">
      <w:pPr>
        <w:pStyle w:val="NoSpacing"/>
      </w:pPr>
    </w:p>
    <w:p w:rsidR="00CB3929" w:rsidRDefault="00CB3929" w:rsidP="00AF7A5F">
      <w:pPr>
        <w:pStyle w:val="NoSpacing"/>
      </w:pPr>
    </w:p>
    <w:p w:rsidR="00AE089D" w:rsidRDefault="00EA00B8" w:rsidP="00AF7A5F">
      <w:pPr>
        <w:pStyle w:val="NoSpacing"/>
      </w:pPr>
      <w:r>
        <w:t>A review of th</w:t>
      </w:r>
      <w:r w:rsidR="00630402">
        <w:t xml:space="preserve">e Phase III data indicated </w:t>
      </w:r>
      <w:r>
        <w:t>problems with the analysis of Selenium</w:t>
      </w:r>
      <w:r w:rsidR="00CB3929">
        <w:t xml:space="preserve"> and a decision was made to go forward with Phase IV</w:t>
      </w:r>
      <w:r>
        <w:t xml:space="preserve">.  </w:t>
      </w:r>
    </w:p>
    <w:p w:rsidR="00EE7512" w:rsidRDefault="00EE7512" w:rsidP="00AF7A5F">
      <w:pPr>
        <w:pStyle w:val="NoSpacing"/>
        <w:rPr>
          <w:b/>
        </w:rPr>
      </w:pPr>
    </w:p>
    <w:p w:rsidR="00EE7512" w:rsidRDefault="00EE7512" w:rsidP="00AF7A5F">
      <w:pPr>
        <w:pStyle w:val="NoSpacing"/>
        <w:rPr>
          <w:b/>
        </w:rPr>
      </w:pPr>
    </w:p>
    <w:p w:rsidR="00115B37" w:rsidRDefault="00115B37" w:rsidP="00AF7A5F">
      <w:pPr>
        <w:pStyle w:val="NoSpacing"/>
        <w:rPr>
          <w:b/>
          <w:sz w:val="32"/>
          <w:szCs w:val="32"/>
        </w:rPr>
      </w:pPr>
    </w:p>
    <w:p w:rsidR="00115B37" w:rsidRDefault="00115B37" w:rsidP="00AF7A5F">
      <w:pPr>
        <w:pStyle w:val="NoSpacing"/>
        <w:rPr>
          <w:b/>
          <w:sz w:val="32"/>
          <w:szCs w:val="32"/>
        </w:rPr>
      </w:pPr>
    </w:p>
    <w:p w:rsidR="00AE089D" w:rsidRPr="00CB3929" w:rsidRDefault="00AE089D" w:rsidP="00AF7A5F">
      <w:pPr>
        <w:pStyle w:val="NoSpacing"/>
        <w:rPr>
          <w:b/>
          <w:sz w:val="32"/>
          <w:szCs w:val="32"/>
        </w:rPr>
      </w:pPr>
      <w:r w:rsidRPr="00CB3929">
        <w:rPr>
          <w:b/>
          <w:sz w:val="32"/>
          <w:szCs w:val="32"/>
        </w:rPr>
        <w:lastRenderedPageBreak/>
        <w:t>Phase IV</w:t>
      </w:r>
    </w:p>
    <w:p w:rsidR="00AE089D" w:rsidRDefault="00AE089D" w:rsidP="00AF7A5F">
      <w:pPr>
        <w:pStyle w:val="NoSpacing"/>
      </w:pPr>
    </w:p>
    <w:p w:rsidR="00682FB5" w:rsidRDefault="00682FB5" w:rsidP="00115B37">
      <w:pPr>
        <w:pStyle w:val="NoSpacing"/>
        <w:spacing w:line="276" w:lineRule="auto"/>
      </w:pPr>
      <w:r>
        <w:t>After a review of the Phase III data, WV DEP staff discussed the need to further assess the laboratories with a double-blind sample with a higher concentration of sulfate in the sample.  For Phase IV two custom double-blind, full-volume samples were prepared by Wibby Environmental, Golden, CO.  One sample was prepared at 20 µg/L and one sample was prepared at 5 µg/L.  Both samples had the followin</w:t>
      </w:r>
      <w:r w:rsidR="00F47737">
        <w:t>g</w:t>
      </w:r>
      <w:r>
        <w:t xml:space="preserve"> constituents added in order to simulate a </w:t>
      </w:r>
      <w:r w:rsidR="00115B37">
        <w:t xml:space="preserve">high specific conductance, alkaline </w:t>
      </w:r>
      <w:r>
        <w:t xml:space="preserve">mine discharge:  Iron (Fe) – 2000 µg/L, Manganese (Mn) – 500 µg/l, Aluminum (Al) – 1000 µg/L, Magnesium (Mg) – 7500 µg/L, Chloride – 5000 µg/L, and Sulfate – 600 mg/L.  Calcium was present at approximately 180 mg/L </w:t>
      </w:r>
      <w:r w:rsidR="00AE5758">
        <w:t>because the source of the sulfate was CaSO</w:t>
      </w:r>
      <w:r w:rsidR="00AE5758" w:rsidRPr="00AE5758">
        <w:rPr>
          <w:vertAlign w:val="subscript"/>
        </w:rPr>
        <w:t>4</w:t>
      </w:r>
      <w:r w:rsidR="00AE5758">
        <w:t>.</w:t>
      </w:r>
      <w:r>
        <w:t xml:space="preserve">  Wibby prepared preserved portions at both concentrations and unpreserved portions at both concentrations.  The samples were tested by a referee laboratory to ensure the concentrations were accurate.  The samples were delivered to the labs in the same manner as was accomplished during Phase II</w:t>
      </w:r>
      <w:r w:rsidR="00AE5758">
        <w:t xml:space="preserve"> and III</w:t>
      </w:r>
      <w:r>
        <w:t>.</w:t>
      </w:r>
    </w:p>
    <w:p w:rsidR="00EA00B8" w:rsidRDefault="00EA00B8" w:rsidP="00AF7A5F">
      <w:pPr>
        <w:pStyle w:val="NoSpacing"/>
      </w:pPr>
    </w:p>
    <w:p w:rsidR="00EA00B8" w:rsidRDefault="00EA00B8" w:rsidP="00EA00B8">
      <w:r>
        <w:t>The following table depicts the data used for evaluation under Phase IV for the 5 µg/L sample.</w:t>
      </w:r>
    </w:p>
    <w:p w:rsidR="006A1127" w:rsidRPr="00CB3929" w:rsidRDefault="00CB3929" w:rsidP="006A1127">
      <w:pPr>
        <w:pStyle w:val="NoSpacing"/>
        <w:rPr>
          <w:b/>
          <w:sz w:val="32"/>
          <w:szCs w:val="32"/>
        </w:rPr>
      </w:pPr>
      <w:r w:rsidRPr="00CB3929">
        <w:rPr>
          <w:b/>
          <w:sz w:val="32"/>
          <w:szCs w:val="32"/>
        </w:rPr>
        <w:t>Table 7.</w:t>
      </w:r>
    </w:p>
    <w:tbl>
      <w:tblPr>
        <w:tblW w:w="75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0"/>
        <w:gridCol w:w="472"/>
        <w:gridCol w:w="1080"/>
        <w:gridCol w:w="1080"/>
        <w:gridCol w:w="1603"/>
        <w:gridCol w:w="1080"/>
      </w:tblGrid>
      <w:tr w:rsidR="00630402" w:rsidRPr="00630402" w:rsidTr="00630402">
        <w:trPr>
          <w:trHeight w:val="405"/>
        </w:trPr>
        <w:tc>
          <w:tcPr>
            <w:tcW w:w="2720" w:type="dxa"/>
            <w:shd w:val="clear" w:color="auto" w:fill="auto"/>
            <w:noWrap/>
            <w:vAlign w:val="bottom"/>
            <w:hideMark/>
          </w:tcPr>
          <w:p w:rsidR="00630402" w:rsidRPr="00630402" w:rsidRDefault="00630402" w:rsidP="00630402">
            <w:pPr>
              <w:spacing w:after="0"/>
              <w:contextualSpacing w:val="0"/>
              <w:rPr>
                <w:rFonts w:eastAsia="Times New Roman" w:cs="Times New Roman"/>
                <w:b/>
                <w:bCs/>
                <w:sz w:val="32"/>
                <w:szCs w:val="32"/>
              </w:rPr>
            </w:pPr>
            <w:r w:rsidRPr="00630402">
              <w:rPr>
                <w:rFonts w:eastAsia="Times New Roman" w:cs="Times New Roman"/>
                <w:b/>
                <w:bCs/>
                <w:sz w:val="32"/>
                <w:szCs w:val="32"/>
              </w:rPr>
              <w:t>Lab</w:t>
            </w:r>
          </w:p>
        </w:tc>
        <w:tc>
          <w:tcPr>
            <w:tcW w:w="460" w:type="dxa"/>
            <w:shd w:val="clear" w:color="auto" w:fill="auto"/>
            <w:noWrap/>
            <w:vAlign w:val="bottom"/>
            <w:hideMark/>
          </w:tcPr>
          <w:p w:rsidR="00630402" w:rsidRPr="00630402" w:rsidRDefault="00630402" w:rsidP="00630402">
            <w:pPr>
              <w:spacing w:after="0"/>
              <w:contextualSpacing w:val="0"/>
              <w:rPr>
                <w:rFonts w:eastAsia="Times New Roman" w:cs="Times New Roman"/>
                <w:b/>
                <w:bCs/>
                <w:sz w:val="32"/>
                <w:szCs w:val="32"/>
              </w:rPr>
            </w:pPr>
          </w:p>
        </w:tc>
        <w:tc>
          <w:tcPr>
            <w:tcW w:w="1080" w:type="dxa"/>
            <w:shd w:val="clear" w:color="auto" w:fill="auto"/>
            <w:noWrap/>
            <w:vAlign w:val="bottom"/>
            <w:hideMark/>
          </w:tcPr>
          <w:p w:rsidR="00630402" w:rsidRPr="00630402" w:rsidRDefault="00630402" w:rsidP="00630402">
            <w:pPr>
              <w:spacing w:after="0"/>
              <w:contextualSpacing w:val="0"/>
              <w:rPr>
                <w:rFonts w:eastAsia="Times New Roman" w:cs="Times New Roman"/>
                <w:sz w:val="32"/>
                <w:szCs w:val="32"/>
              </w:rPr>
            </w:pPr>
            <w:r w:rsidRPr="00630402">
              <w:rPr>
                <w:rFonts w:eastAsia="Times New Roman" w:cs="Times New Roman"/>
                <w:sz w:val="32"/>
                <w:szCs w:val="32"/>
              </w:rPr>
              <w:t>Result</w:t>
            </w:r>
          </w:p>
        </w:tc>
        <w:tc>
          <w:tcPr>
            <w:tcW w:w="1080" w:type="dxa"/>
            <w:shd w:val="clear" w:color="auto" w:fill="auto"/>
            <w:noWrap/>
            <w:vAlign w:val="bottom"/>
            <w:hideMark/>
          </w:tcPr>
          <w:p w:rsidR="00630402" w:rsidRPr="00630402" w:rsidRDefault="00630402" w:rsidP="00CB3929">
            <w:pPr>
              <w:spacing w:after="0"/>
              <w:contextualSpacing w:val="0"/>
              <w:jc w:val="center"/>
              <w:rPr>
                <w:rFonts w:eastAsia="Times New Roman" w:cs="Times New Roman"/>
                <w:sz w:val="32"/>
                <w:szCs w:val="32"/>
              </w:rPr>
            </w:pPr>
            <w:r w:rsidRPr="00630402">
              <w:rPr>
                <w:rFonts w:eastAsia="Times New Roman" w:cs="Times New Roman"/>
                <w:sz w:val="32"/>
                <w:szCs w:val="32"/>
              </w:rPr>
              <w:t>units</w:t>
            </w:r>
          </w:p>
        </w:tc>
        <w:tc>
          <w:tcPr>
            <w:tcW w:w="1080" w:type="dxa"/>
            <w:shd w:val="clear" w:color="auto" w:fill="auto"/>
            <w:noWrap/>
            <w:vAlign w:val="bottom"/>
            <w:hideMark/>
          </w:tcPr>
          <w:p w:rsidR="00630402" w:rsidRPr="00630402" w:rsidRDefault="00CB3929" w:rsidP="00CB3929">
            <w:pPr>
              <w:spacing w:after="0"/>
              <w:contextualSpacing w:val="0"/>
              <w:jc w:val="center"/>
              <w:rPr>
                <w:rFonts w:eastAsia="Times New Roman" w:cs="Times New Roman"/>
                <w:sz w:val="32"/>
                <w:szCs w:val="32"/>
              </w:rPr>
            </w:pPr>
            <w:r>
              <w:rPr>
                <w:rFonts w:eastAsia="Times New Roman" w:cs="Times New Roman"/>
                <w:sz w:val="32"/>
                <w:szCs w:val="32"/>
              </w:rPr>
              <w:t>Instrument</w:t>
            </w:r>
          </w:p>
        </w:tc>
        <w:tc>
          <w:tcPr>
            <w:tcW w:w="1080" w:type="dxa"/>
            <w:shd w:val="clear" w:color="auto" w:fill="auto"/>
            <w:noWrap/>
            <w:vAlign w:val="bottom"/>
            <w:hideMark/>
          </w:tcPr>
          <w:p w:rsidR="00630402" w:rsidRPr="00630402" w:rsidRDefault="00630402" w:rsidP="00630402">
            <w:pPr>
              <w:spacing w:after="0"/>
              <w:contextualSpacing w:val="0"/>
              <w:rPr>
                <w:rFonts w:eastAsia="Times New Roman" w:cs="Times New Roman"/>
                <w:sz w:val="32"/>
                <w:szCs w:val="32"/>
              </w:rPr>
            </w:pPr>
            <w:r w:rsidRPr="00630402">
              <w:rPr>
                <w:rFonts w:eastAsia="Times New Roman" w:cs="Times New Roman"/>
                <w:sz w:val="32"/>
                <w:szCs w:val="32"/>
              </w:rPr>
              <w:t>% Rec.</w:t>
            </w:r>
          </w:p>
        </w:tc>
      </w:tr>
      <w:tr w:rsidR="00630402" w:rsidRPr="00630402" w:rsidTr="00630402">
        <w:trPr>
          <w:trHeight w:val="315"/>
        </w:trPr>
        <w:tc>
          <w:tcPr>
            <w:tcW w:w="2720" w:type="dxa"/>
            <w:shd w:val="clear" w:color="auto" w:fill="auto"/>
            <w:noWrap/>
            <w:vAlign w:val="bottom"/>
            <w:hideMark/>
          </w:tcPr>
          <w:p w:rsidR="00630402" w:rsidRPr="00630402" w:rsidRDefault="00630402" w:rsidP="00630402">
            <w:pPr>
              <w:spacing w:after="0"/>
              <w:contextualSpacing w:val="0"/>
              <w:rPr>
                <w:rFonts w:eastAsia="Times New Roman" w:cs="Times New Roman"/>
                <w:szCs w:val="24"/>
              </w:rPr>
            </w:pPr>
            <w:r w:rsidRPr="00630402">
              <w:rPr>
                <w:rFonts w:eastAsia="Times New Roman" w:cs="Times New Roman"/>
                <w:szCs w:val="24"/>
              </w:rPr>
              <w:t>REI Consultants</w:t>
            </w:r>
          </w:p>
        </w:tc>
        <w:tc>
          <w:tcPr>
            <w:tcW w:w="460" w:type="dxa"/>
            <w:shd w:val="clear" w:color="auto" w:fill="auto"/>
            <w:noWrap/>
            <w:vAlign w:val="bottom"/>
            <w:hideMark/>
          </w:tcPr>
          <w:p w:rsidR="00630402" w:rsidRPr="00630402" w:rsidRDefault="00630402" w:rsidP="00630402">
            <w:pPr>
              <w:spacing w:after="0"/>
              <w:contextualSpacing w:val="0"/>
              <w:rPr>
                <w:rFonts w:eastAsia="Times New Roman" w:cs="Times New Roman"/>
                <w:szCs w:val="24"/>
              </w:rPr>
            </w:pPr>
          </w:p>
        </w:tc>
        <w:tc>
          <w:tcPr>
            <w:tcW w:w="1080" w:type="dxa"/>
            <w:shd w:val="clear" w:color="auto" w:fill="auto"/>
            <w:noWrap/>
            <w:vAlign w:val="bottom"/>
            <w:hideMark/>
          </w:tcPr>
          <w:p w:rsidR="00630402" w:rsidRPr="00630402" w:rsidRDefault="00630402" w:rsidP="00630402">
            <w:pPr>
              <w:spacing w:after="0"/>
              <w:contextualSpacing w:val="0"/>
              <w:jc w:val="right"/>
              <w:rPr>
                <w:rFonts w:eastAsia="Times New Roman" w:cs="Times New Roman"/>
                <w:szCs w:val="24"/>
              </w:rPr>
            </w:pPr>
            <w:r w:rsidRPr="00630402">
              <w:rPr>
                <w:rFonts w:eastAsia="Times New Roman" w:cs="Times New Roman"/>
                <w:szCs w:val="24"/>
              </w:rPr>
              <w:t>4.2</w:t>
            </w:r>
          </w:p>
        </w:tc>
        <w:tc>
          <w:tcPr>
            <w:tcW w:w="1080" w:type="dxa"/>
            <w:shd w:val="clear" w:color="auto" w:fill="auto"/>
            <w:noWrap/>
            <w:vAlign w:val="bottom"/>
            <w:hideMark/>
          </w:tcPr>
          <w:p w:rsidR="00630402" w:rsidRPr="00630402" w:rsidRDefault="00630402" w:rsidP="00CB3929">
            <w:pPr>
              <w:spacing w:after="0"/>
              <w:contextualSpacing w:val="0"/>
              <w:jc w:val="center"/>
              <w:rPr>
                <w:rFonts w:eastAsia="Times New Roman" w:cs="Times New Roman"/>
                <w:szCs w:val="24"/>
              </w:rPr>
            </w:pPr>
            <w:r w:rsidRPr="00630402">
              <w:rPr>
                <w:rFonts w:eastAsia="Times New Roman" w:cs="Times New Roman"/>
                <w:szCs w:val="24"/>
              </w:rPr>
              <w:t>µg/L</w:t>
            </w:r>
          </w:p>
        </w:tc>
        <w:tc>
          <w:tcPr>
            <w:tcW w:w="1080" w:type="dxa"/>
            <w:shd w:val="clear" w:color="auto" w:fill="auto"/>
            <w:noWrap/>
            <w:vAlign w:val="bottom"/>
            <w:hideMark/>
          </w:tcPr>
          <w:p w:rsidR="00630402" w:rsidRPr="00630402" w:rsidRDefault="00CB3929" w:rsidP="00CB3929">
            <w:pPr>
              <w:spacing w:after="0"/>
              <w:contextualSpacing w:val="0"/>
              <w:jc w:val="center"/>
              <w:rPr>
                <w:rFonts w:eastAsia="Times New Roman" w:cs="Times New Roman"/>
                <w:szCs w:val="24"/>
              </w:rPr>
            </w:pPr>
            <w:r>
              <w:rPr>
                <w:rFonts w:eastAsia="Times New Roman" w:cs="Times New Roman"/>
                <w:szCs w:val="24"/>
              </w:rPr>
              <w:t>GFAA</w:t>
            </w:r>
          </w:p>
        </w:tc>
        <w:tc>
          <w:tcPr>
            <w:tcW w:w="1080" w:type="dxa"/>
            <w:shd w:val="clear" w:color="auto" w:fill="auto"/>
            <w:noWrap/>
            <w:vAlign w:val="bottom"/>
            <w:hideMark/>
          </w:tcPr>
          <w:p w:rsidR="00630402" w:rsidRPr="00630402" w:rsidRDefault="00630402" w:rsidP="00630402">
            <w:pPr>
              <w:spacing w:after="0"/>
              <w:contextualSpacing w:val="0"/>
              <w:jc w:val="right"/>
              <w:rPr>
                <w:rFonts w:eastAsia="Times New Roman" w:cs="Times New Roman"/>
                <w:szCs w:val="24"/>
              </w:rPr>
            </w:pPr>
            <w:r w:rsidRPr="00630402">
              <w:rPr>
                <w:rFonts w:eastAsia="Times New Roman" w:cs="Times New Roman"/>
                <w:szCs w:val="24"/>
              </w:rPr>
              <w:t>84.0</w:t>
            </w:r>
          </w:p>
        </w:tc>
      </w:tr>
      <w:tr w:rsidR="00630402" w:rsidRPr="00630402" w:rsidTr="00630402">
        <w:trPr>
          <w:trHeight w:val="315"/>
        </w:trPr>
        <w:tc>
          <w:tcPr>
            <w:tcW w:w="2720" w:type="dxa"/>
            <w:shd w:val="clear" w:color="auto" w:fill="auto"/>
            <w:noWrap/>
            <w:vAlign w:val="bottom"/>
            <w:hideMark/>
          </w:tcPr>
          <w:p w:rsidR="00630402" w:rsidRPr="00630402" w:rsidRDefault="00630402" w:rsidP="00630402">
            <w:pPr>
              <w:spacing w:after="0"/>
              <w:contextualSpacing w:val="0"/>
              <w:rPr>
                <w:rFonts w:eastAsia="Times New Roman" w:cs="Times New Roman"/>
                <w:szCs w:val="24"/>
              </w:rPr>
            </w:pPr>
            <w:r w:rsidRPr="00630402">
              <w:rPr>
                <w:rFonts w:eastAsia="Times New Roman" w:cs="Times New Roman"/>
                <w:szCs w:val="24"/>
              </w:rPr>
              <w:t>BioChem</w:t>
            </w:r>
          </w:p>
        </w:tc>
        <w:tc>
          <w:tcPr>
            <w:tcW w:w="460" w:type="dxa"/>
            <w:shd w:val="clear" w:color="auto" w:fill="auto"/>
            <w:noWrap/>
            <w:vAlign w:val="bottom"/>
            <w:hideMark/>
          </w:tcPr>
          <w:p w:rsidR="00630402" w:rsidRPr="00630402" w:rsidRDefault="00630402" w:rsidP="00630402">
            <w:pPr>
              <w:spacing w:after="0"/>
              <w:contextualSpacing w:val="0"/>
              <w:rPr>
                <w:rFonts w:eastAsia="Times New Roman" w:cs="Times New Roman"/>
                <w:szCs w:val="24"/>
              </w:rPr>
            </w:pPr>
          </w:p>
        </w:tc>
        <w:tc>
          <w:tcPr>
            <w:tcW w:w="1080" w:type="dxa"/>
            <w:shd w:val="clear" w:color="auto" w:fill="auto"/>
            <w:noWrap/>
            <w:vAlign w:val="bottom"/>
            <w:hideMark/>
          </w:tcPr>
          <w:p w:rsidR="00630402" w:rsidRPr="00630402" w:rsidRDefault="00630402" w:rsidP="00630402">
            <w:pPr>
              <w:spacing w:after="0"/>
              <w:contextualSpacing w:val="0"/>
              <w:jc w:val="right"/>
              <w:rPr>
                <w:rFonts w:eastAsia="Times New Roman" w:cs="Times New Roman"/>
                <w:szCs w:val="24"/>
              </w:rPr>
            </w:pPr>
            <w:r w:rsidRPr="00630402">
              <w:rPr>
                <w:rFonts w:eastAsia="Times New Roman" w:cs="Times New Roman"/>
                <w:szCs w:val="24"/>
              </w:rPr>
              <w:t>5.8</w:t>
            </w:r>
          </w:p>
        </w:tc>
        <w:tc>
          <w:tcPr>
            <w:tcW w:w="1080" w:type="dxa"/>
            <w:shd w:val="clear" w:color="auto" w:fill="auto"/>
            <w:noWrap/>
            <w:vAlign w:val="bottom"/>
            <w:hideMark/>
          </w:tcPr>
          <w:p w:rsidR="00630402" w:rsidRPr="00630402" w:rsidRDefault="00630402" w:rsidP="00CB3929">
            <w:pPr>
              <w:spacing w:after="0"/>
              <w:contextualSpacing w:val="0"/>
              <w:jc w:val="center"/>
              <w:rPr>
                <w:rFonts w:eastAsia="Times New Roman" w:cs="Times New Roman"/>
                <w:szCs w:val="24"/>
              </w:rPr>
            </w:pPr>
            <w:r w:rsidRPr="00630402">
              <w:rPr>
                <w:rFonts w:eastAsia="Times New Roman" w:cs="Times New Roman"/>
                <w:szCs w:val="24"/>
              </w:rPr>
              <w:t>µg/L</w:t>
            </w:r>
          </w:p>
        </w:tc>
        <w:tc>
          <w:tcPr>
            <w:tcW w:w="1080" w:type="dxa"/>
            <w:shd w:val="clear" w:color="auto" w:fill="auto"/>
            <w:noWrap/>
            <w:vAlign w:val="bottom"/>
            <w:hideMark/>
          </w:tcPr>
          <w:p w:rsidR="00630402" w:rsidRPr="00630402" w:rsidRDefault="00CB3929" w:rsidP="00CB3929">
            <w:pPr>
              <w:spacing w:after="0"/>
              <w:contextualSpacing w:val="0"/>
              <w:jc w:val="center"/>
              <w:rPr>
                <w:rFonts w:eastAsia="Times New Roman" w:cs="Times New Roman"/>
                <w:szCs w:val="24"/>
              </w:rPr>
            </w:pPr>
            <w:r>
              <w:rPr>
                <w:rFonts w:eastAsia="Times New Roman" w:cs="Times New Roman"/>
                <w:szCs w:val="24"/>
              </w:rPr>
              <w:t>GFAA</w:t>
            </w:r>
          </w:p>
        </w:tc>
        <w:tc>
          <w:tcPr>
            <w:tcW w:w="1080" w:type="dxa"/>
            <w:shd w:val="clear" w:color="auto" w:fill="auto"/>
            <w:noWrap/>
            <w:vAlign w:val="bottom"/>
            <w:hideMark/>
          </w:tcPr>
          <w:p w:rsidR="00630402" w:rsidRPr="00630402" w:rsidRDefault="00630402" w:rsidP="00630402">
            <w:pPr>
              <w:spacing w:after="0"/>
              <w:contextualSpacing w:val="0"/>
              <w:jc w:val="right"/>
              <w:rPr>
                <w:rFonts w:eastAsia="Times New Roman" w:cs="Times New Roman"/>
                <w:szCs w:val="24"/>
              </w:rPr>
            </w:pPr>
            <w:r w:rsidRPr="00630402">
              <w:rPr>
                <w:rFonts w:eastAsia="Times New Roman" w:cs="Times New Roman"/>
                <w:szCs w:val="24"/>
              </w:rPr>
              <w:t>116.0</w:t>
            </w:r>
          </w:p>
        </w:tc>
      </w:tr>
      <w:tr w:rsidR="00630402" w:rsidRPr="00630402" w:rsidTr="00630402">
        <w:trPr>
          <w:trHeight w:val="315"/>
        </w:trPr>
        <w:tc>
          <w:tcPr>
            <w:tcW w:w="2720" w:type="dxa"/>
            <w:shd w:val="clear" w:color="auto" w:fill="auto"/>
            <w:noWrap/>
            <w:vAlign w:val="bottom"/>
            <w:hideMark/>
          </w:tcPr>
          <w:p w:rsidR="00630402" w:rsidRPr="00630402" w:rsidRDefault="00630402" w:rsidP="00630402">
            <w:pPr>
              <w:spacing w:after="0"/>
              <w:contextualSpacing w:val="0"/>
              <w:rPr>
                <w:rFonts w:eastAsia="Times New Roman" w:cs="Times New Roman"/>
                <w:szCs w:val="24"/>
              </w:rPr>
            </w:pPr>
            <w:r w:rsidRPr="00630402">
              <w:rPr>
                <w:rFonts w:eastAsia="Times New Roman" w:cs="Times New Roman"/>
                <w:szCs w:val="24"/>
              </w:rPr>
              <w:t>Sturm Environmental</w:t>
            </w:r>
          </w:p>
        </w:tc>
        <w:tc>
          <w:tcPr>
            <w:tcW w:w="460" w:type="dxa"/>
            <w:shd w:val="clear" w:color="auto" w:fill="auto"/>
            <w:noWrap/>
            <w:vAlign w:val="bottom"/>
            <w:hideMark/>
          </w:tcPr>
          <w:p w:rsidR="00630402" w:rsidRPr="00630402" w:rsidRDefault="00630402" w:rsidP="00630402">
            <w:pPr>
              <w:spacing w:after="0"/>
              <w:contextualSpacing w:val="0"/>
              <w:rPr>
                <w:rFonts w:eastAsia="Times New Roman" w:cs="Times New Roman"/>
                <w:szCs w:val="24"/>
              </w:rPr>
            </w:pPr>
          </w:p>
        </w:tc>
        <w:tc>
          <w:tcPr>
            <w:tcW w:w="1080" w:type="dxa"/>
            <w:shd w:val="clear" w:color="auto" w:fill="auto"/>
            <w:noWrap/>
            <w:vAlign w:val="bottom"/>
            <w:hideMark/>
          </w:tcPr>
          <w:p w:rsidR="00630402" w:rsidRPr="00630402" w:rsidRDefault="00630402" w:rsidP="00630402">
            <w:pPr>
              <w:spacing w:after="0"/>
              <w:contextualSpacing w:val="0"/>
              <w:jc w:val="right"/>
              <w:rPr>
                <w:rFonts w:eastAsia="Times New Roman" w:cs="Times New Roman"/>
                <w:szCs w:val="24"/>
              </w:rPr>
            </w:pPr>
            <w:r w:rsidRPr="00630402">
              <w:rPr>
                <w:rFonts w:eastAsia="Times New Roman" w:cs="Times New Roman"/>
                <w:szCs w:val="24"/>
              </w:rPr>
              <w:t>3.9</w:t>
            </w:r>
          </w:p>
        </w:tc>
        <w:tc>
          <w:tcPr>
            <w:tcW w:w="1080" w:type="dxa"/>
            <w:shd w:val="clear" w:color="auto" w:fill="auto"/>
            <w:noWrap/>
            <w:vAlign w:val="bottom"/>
            <w:hideMark/>
          </w:tcPr>
          <w:p w:rsidR="00630402" w:rsidRPr="00630402" w:rsidRDefault="00630402" w:rsidP="00CB3929">
            <w:pPr>
              <w:spacing w:after="0"/>
              <w:contextualSpacing w:val="0"/>
              <w:jc w:val="center"/>
              <w:rPr>
                <w:rFonts w:eastAsia="Times New Roman" w:cs="Times New Roman"/>
                <w:szCs w:val="24"/>
              </w:rPr>
            </w:pPr>
            <w:r w:rsidRPr="00630402">
              <w:rPr>
                <w:rFonts w:eastAsia="Times New Roman" w:cs="Times New Roman"/>
                <w:szCs w:val="24"/>
              </w:rPr>
              <w:t>µg/L</w:t>
            </w:r>
          </w:p>
        </w:tc>
        <w:tc>
          <w:tcPr>
            <w:tcW w:w="1080" w:type="dxa"/>
            <w:shd w:val="clear" w:color="auto" w:fill="auto"/>
            <w:noWrap/>
            <w:vAlign w:val="bottom"/>
            <w:hideMark/>
          </w:tcPr>
          <w:p w:rsidR="00630402" w:rsidRPr="00630402" w:rsidRDefault="00CB3929" w:rsidP="00CB3929">
            <w:pPr>
              <w:spacing w:after="0"/>
              <w:contextualSpacing w:val="0"/>
              <w:jc w:val="center"/>
              <w:rPr>
                <w:rFonts w:eastAsia="Times New Roman" w:cs="Times New Roman"/>
                <w:szCs w:val="24"/>
              </w:rPr>
            </w:pPr>
            <w:r>
              <w:rPr>
                <w:rFonts w:eastAsia="Times New Roman" w:cs="Times New Roman"/>
                <w:szCs w:val="24"/>
              </w:rPr>
              <w:t>GFAA</w:t>
            </w:r>
          </w:p>
        </w:tc>
        <w:tc>
          <w:tcPr>
            <w:tcW w:w="1080" w:type="dxa"/>
            <w:shd w:val="clear" w:color="auto" w:fill="auto"/>
            <w:noWrap/>
            <w:vAlign w:val="bottom"/>
            <w:hideMark/>
          </w:tcPr>
          <w:p w:rsidR="00630402" w:rsidRPr="00630402" w:rsidRDefault="00630402" w:rsidP="00630402">
            <w:pPr>
              <w:spacing w:after="0"/>
              <w:contextualSpacing w:val="0"/>
              <w:jc w:val="right"/>
              <w:rPr>
                <w:rFonts w:eastAsia="Times New Roman" w:cs="Times New Roman"/>
                <w:szCs w:val="24"/>
              </w:rPr>
            </w:pPr>
            <w:r w:rsidRPr="00630402">
              <w:rPr>
                <w:rFonts w:eastAsia="Times New Roman" w:cs="Times New Roman"/>
                <w:szCs w:val="24"/>
              </w:rPr>
              <w:t>78.0</w:t>
            </w:r>
          </w:p>
        </w:tc>
      </w:tr>
      <w:tr w:rsidR="00630402" w:rsidRPr="00630402" w:rsidTr="00630402">
        <w:trPr>
          <w:trHeight w:val="315"/>
        </w:trPr>
        <w:tc>
          <w:tcPr>
            <w:tcW w:w="2720" w:type="dxa"/>
            <w:shd w:val="clear" w:color="auto" w:fill="auto"/>
            <w:noWrap/>
            <w:vAlign w:val="bottom"/>
            <w:hideMark/>
          </w:tcPr>
          <w:p w:rsidR="00630402" w:rsidRPr="00630402" w:rsidRDefault="00630402" w:rsidP="00630402">
            <w:pPr>
              <w:spacing w:after="0"/>
              <w:contextualSpacing w:val="0"/>
              <w:rPr>
                <w:rFonts w:eastAsia="Times New Roman" w:cs="Times New Roman"/>
                <w:szCs w:val="24"/>
              </w:rPr>
            </w:pPr>
            <w:r w:rsidRPr="00630402">
              <w:rPr>
                <w:rFonts w:eastAsia="Times New Roman" w:cs="Times New Roman"/>
                <w:szCs w:val="24"/>
              </w:rPr>
              <w:t>Acculab</w:t>
            </w:r>
          </w:p>
        </w:tc>
        <w:tc>
          <w:tcPr>
            <w:tcW w:w="460" w:type="dxa"/>
            <w:shd w:val="clear" w:color="auto" w:fill="auto"/>
            <w:noWrap/>
            <w:vAlign w:val="bottom"/>
            <w:hideMark/>
          </w:tcPr>
          <w:p w:rsidR="00630402" w:rsidRPr="00630402" w:rsidRDefault="00630402" w:rsidP="00630402">
            <w:pPr>
              <w:spacing w:after="0"/>
              <w:contextualSpacing w:val="0"/>
              <w:rPr>
                <w:rFonts w:eastAsia="Times New Roman" w:cs="Times New Roman"/>
                <w:szCs w:val="24"/>
              </w:rPr>
            </w:pPr>
          </w:p>
        </w:tc>
        <w:tc>
          <w:tcPr>
            <w:tcW w:w="1080" w:type="dxa"/>
            <w:shd w:val="clear" w:color="auto" w:fill="auto"/>
            <w:noWrap/>
            <w:vAlign w:val="bottom"/>
            <w:hideMark/>
          </w:tcPr>
          <w:p w:rsidR="00630402" w:rsidRPr="00630402" w:rsidRDefault="00630402" w:rsidP="00630402">
            <w:pPr>
              <w:spacing w:after="0"/>
              <w:contextualSpacing w:val="0"/>
              <w:jc w:val="right"/>
              <w:rPr>
                <w:rFonts w:eastAsia="Times New Roman" w:cs="Times New Roman"/>
                <w:szCs w:val="24"/>
              </w:rPr>
            </w:pPr>
            <w:r w:rsidRPr="00630402">
              <w:rPr>
                <w:rFonts w:eastAsia="Times New Roman" w:cs="Times New Roman"/>
                <w:szCs w:val="24"/>
              </w:rPr>
              <w:t>3.85</w:t>
            </w:r>
          </w:p>
        </w:tc>
        <w:tc>
          <w:tcPr>
            <w:tcW w:w="1080" w:type="dxa"/>
            <w:shd w:val="clear" w:color="auto" w:fill="auto"/>
            <w:noWrap/>
            <w:vAlign w:val="bottom"/>
            <w:hideMark/>
          </w:tcPr>
          <w:p w:rsidR="00630402" w:rsidRPr="00630402" w:rsidRDefault="00630402" w:rsidP="00CB3929">
            <w:pPr>
              <w:spacing w:after="0"/>
              <w:contextualSpacing w:val="0"/>
              <w:jc w:val="center"/>
              <w:rPr>
                <w:rFonts w:eastAsia="Times New Roman" w:cs="Times New Roman"/>
                <w:szCs w:val="24"/>
              </w:rPr>
            </w:pPr>
            <w:r w:rsidRPr="00630402">
              <w:rPr>
                <w:rFonts w:eastAsia="Times New Roman" w:cs="Times New Roman"/>
                <w:szCs w:val="24"/>
              </w:rPr>
              <w:t>µg/L</w:t>
            </w:r>
          </w:p>
        </w:tc>
        <w:tc>
          <w:tcPr>
            <w:tcW w:w="1080" w:type="dxa"/>
            <w:shd w:val="clear" w:color="auto" w:fill="auto"/>
            <w:noWrap/>
            <w:vAlign w:val="bottom"/>
            <w:hideMark/>
          </w:tcPr>
          <w:p w:rsidR="00630402" w:rsidRPr="00630402" w:rsidRDefault="00CB3929" w:rsidP="00CB3929">
            <w:pPr>
              <w:spacing w:after="0"/>
              <w:contextualSpacing w:val="0"/>
              <w:jc w:val="center"/>
              <w:rPr>
                <w:rFonts w:eastAsia="Times New Roman" w:cs="Times New Roman"/>
                <w:szCs w:val="24"/>
              </w:rPr>
            </w:pPr>
            <w:r>
              <w:rPr>
                <w:rFonts w:eastAsia="Times New Roman" w:cs="Times New Roman"/>
                <w:szCs w:val="24"/>
              </w:rPr>
              <w:t>GFAA</w:t>
            </w:r>
          </w:p>
        </w:tc>
        <w:tc>
          <w:tcPr>
            <w:tcW w:w="1080" w:type="dxa"/>
            <w:shd w:val="clear" w:color="auto" w:fill="auto"/>
            <w:noWrap/>
            <w:vAlign w:val="bottom"/>
            <w:hideMark/>
          </w:tcPr>
          <w:p w:rsidR="00630402" w:rsidRPr="00630402" w:rsidRDefault="00630402" w:rsidP="00630402">
            <w:pPr>
              <w:spacing w:after="0"/>
              <w:contextualSpacing w:val="0"/>
              <w:jc w:val="right"/>
              <w:rPr>
                <w:rFonts w:eastAsia="Times New Roman" w:cs="Times New Roman"/>
                <w:szCs w:val="24"/>
              </w:rPr>
            </w:pPr>
            <w:r w:rsidRPr="00630402">
              <w:rPr>
                <w:rFonts w:eastAsia="Times New Roman" w:cs="Times New Roman"/>
                <w:szCs w:val="24"/>
              </w:rPr>
              <w:t>77.0</w:t>
            </w:r>
          </w:p>
        </w:tc>
      </w:tr>
      <w:tr w:rsidR="00630402" w:rsidRPr="00630402" w:rsidTr="00630402">
        <w:trPr>
          <w:trHeight w:val="315"/>
        </w:trPr>
        <w:tc>
          <w:tcPr>
            <w:tcW w:w="2720" w:type="dxa"/>
            <w:shd w:val="clear" w:color="auto" w:fill="auto"/>
            <w:noWrap/>
            <w:vAlign w:val="bottom"/>
            <w:hideMark/>
          </w:tcPr>
          <w:p w:rsidR="00630402" w:rsidRPr="00630402" w:rsidRDefault="00630402" w:rsidP="00630402">
            <w:pPr>
              <w:spacing w:after="0"/>
              <w:contextualSpacing w:val="0"/>
              <w:rPr>
                <w:rFonts w:eastAsia="Times New Roman" w:cs="Times New Roman"/>
                <w:szCs w:val="24"/>
              </w:rPr>
            </w:pPr>
            <w:r w:rsidRPr="00630402">
              <w:rPr>
                <w:rFonts w:eastAsia="Times New Roman" w:cs="Times New Roman"/>
                <w:szCs w:val="24"/>
              </w:rPr>
              <w:t>Standard Labs (NEST)</w:t>
            </w:r>
          </w:p>
        </w:tc>
        <w:tc>
          <w:tcPr>
            <w:tcW w:w="460" w:type="dxa"/>
            <w:shd w:val="clear" w:color="auto" w:fill="auto"/>
            <w:noWrap/>
            <w:vAlign w:val="bottom"/>
            <w:hideMark/>
          </w:tcPr>
          <w:p w:rsidR="00630402" w:rsidRPr="00630402" w:rsidRDefault="00630402" w:rsidP="00630402">
            <w:pPr>
              <w:spacing w:after="0"/>
              <w:contextualSpacing w:val="0"/>
              <w:rPr>
                <w:rFonts w:eastAsia="Times New Roman" w:cs="Times New Roman"/>
                <w:szCs w:val="24"/>
              </w:rPr>
            </w:pPr>
          </w:p>
        </w:tc>
        <w:tc>
          <w:tcPr>
            <w:tcW w:w="1080" w:type="dxa"/>
            <w:shd w:val="clear" w:color="auto" w:fill="auto"/>
            <w:noWrap/>
            <w:vAlign w:val="bottom"/>
            <w:hideMark/>
          </w:tcPr>
          <w:p w:rsidR="00630402" w:rsidRPr="00630402" w:rsidRDefault="00630402" w:rsidP="00630402">
            <w:pPr>
              <w:spacing w:after="0"/>
              <w:contextualSpacing w:val="0"/>
              <w:jc w:val="right"/>
              <w:rPr>
                <w:rFonts w:eastAsia="Times New Roman" w:cs="Times New Roman"/>
                <w:szCs w:val="24"/>
              </w:rPr>
            </w:pPr>
            <w:r w:rsidRPr="00630402">
              <w:rPr>
                <w:rFonts w:eastAsia="Times New Roman" w:cs="Times New Roman"/>
                <w:szCs w:val="24"/>
              </w:rPr>
              <w:t>4.01</w:t>
            </w:r>
          </w:p>
        </w:tc>
        <w:tc>
          <w:tcPr>
            <w:tcW w:w="1080" w:type="dxa"/>
            <w:shd w:val="clear" w:color="auto" w:fill="auto"/>
            <w:noWrap/>
            <w:vAlign w:val="bottom"/>
            <w:hideMark/>
          </w:tcPr>
          <w:p w:rsidR="00630402" w:rsidRPr="00630402" w:rsidRDefault="00630402" w:rsidP="00CB3929">
            <w:pPr>
              <w:spacing w:after="0"/>
              <w:contextualSpacing w:val="0"/>
              <w:jc w:val="center"/>
              <w:rPr>
                <w:rFonts w:eastAsia="Times New Roman" w:cs="Times New Roman"/>
                <w:szCs w:val="24"/>
              </w:rPr>
            </w:pPr>
            <w:r w:rsidRPr="00630402">
              <w:rPr>
                <w:rFonts w:eastAsia="Times New Roman" w:cs="Times New Roman"/>
                <w:szCs w:val="24"/>
              </w:rPr>
              <w:t>µg/L</w:t>
            </w:r>
          </w:p>
        </w:tc>
        <w:tc>
          <w:tcPr>
            <w:tcW w:w="1080" w:type="dxa"/>
            <w:shd w:val="clear" w:color="auto" w:fill="auto"/>
            <w:noWrap/>
            <w:vAlign w:val="bottom"/>
            <w:hideMark/>
          </w:tcPr>
          <w:p w:rsidR="00630402" w:rsidRPr="00630402" w:rsidRDefault="00CB3929" w:rsidP="00CB3929">
            <w:pPr>
              <w:spacing w:after="0"/>
              <w:contextualSpacing w:val="0"/>
              <w:jc w:val="center"/>
              <w:rPr>
                <w:rFonts w:eastAsia="Times New Roman" w:cs="Times New Roman"/>
                <w:szCs w:val="24"/>
              </w:rPr>
            </w:pPr>
            <w:r>
              <w:rPr>
                <w:rFonts w:eastAsia="Times New Roman" w:cs="Times New Roman"/>
                <w:szCs w:val="24"/>
              </w:rPr>
              <w:t>GFAA</w:t>
            </w:r>
          </w:p>
        </w:tc>
        <w:tc>
          <w:tcPr>
            <w:tcW w:w="1080" w:type="dxa"/>
            <w:shd w:val="clear" w:color="auto" w:fill="auto"/>
            <w:noWrap/>
            <w:vAlign w:val="bottom"/>
            <w:hideMark/>
          </w:tcPr>
          <w:p w:rsidR="00630402" w:rsidRPr="00630402" w:rsidRDefault="00630402" w:rsidP="00630402">
            <w:pPr>
              <w:spacing w:after="0"/>
              <w:contextualSpacing w:val="0"/>
              <w:jc w:val="right"/>
              <w:rPr>
                <w:rFonts w:eastAsia="Times New Roman" w:cs="Times New Roman"/>
                <w:szCs w:val="24"/>
              </w:rPr>
            </w:pPr>
            <w:r w:rsidRPr="00630402">
              <w:rPr>
                <w:rFonts w:eastAsia="Times New Roman" w:cs="Times New Roman"/>
                <w:szCs w:val="24"/>
              </w:rPr>
              <w:t>80.2</w:t>
            </w:r>
          </w:p>
        </w:tc>
      </w:tr>
      <w:tr w:rsidR="00630402" w:rsidRPr="00630402" w:rsidTr="00630402">
        <w:trPr>
          <w:trHeight w:val="315"/>
        </w:trPr>
        <w:tc>
          <w:tcPr>
            <w:tcW w:w="2720" w:type="dxa"/>
            <w:shd w:val="clear" w:color="auto" w:fill="auto"/>
            <w:noWrap/>
            <w:vAlign w:val="bottom"/>
            <w:hideMark/>
          </w:tcPr>
          <w:p w:rsidR="00630402" w:rsidRPr="00630402" w:rsidRDefault="00630402" w:rsidP="00630402">
            <w:pPr>
              <w:spacing w:after="0"/>
              <w:contextualSpacing w:val="0"/>
              <w:rPr>
                <w:rFonts w:eastAsia="Times New Roman" w:cs="Times New Roman"/>
                <w:szCs w:val="24"/>
              </w:rPr>
            </w:pPr>
            <w:r w:rsidRPr="00630402">
              <w:rPr>
                <w:rFonts w:eastAsia="Times New Roman" w:cs="Times New Roman"/>
                <w:szCs w:val="24"/>
              </w:rPr>
              <w:t>REI Consultants</w:t>
            </w:r>
          </w:p>
        </w:tc>
        <w:tc>
          <w:tcPr>
            <w:tcW w:w="460" w:type="dxa"/>
            <w:shd w:val="clear" w:color="auto" w:fill="auto"/>
            <w:noWrap/>
            <w:vAlign w:val="bottom"/>
            <w:hideMark/>
          </w:tcPr>
          <w:p w:rsidR="00630402" w:rsidRPr="00630402" w:rsidRDefault="00630402" w:rsidP="00630402">
            <w:pPr>
              <w:spacing w:after="0"/>
              <w:contextualSpacing w:val="0"/>
              <w:rPr>
                <w:rFonts w:eastAsia="Times New Roman" w:cs="Times New Roman"/>
                <w:szCs w:val="24"/>
              </w:rPr>
            </w:pPr>
            <w:r w:rsidRPr="00630402">
              <w:rPr>
                <w:rFonts w:eastAsia="Times New Roman" w:cs="Times New Roman"/>
                <w:szCs w:val="24"/>
              </w:rPr>
              <w:t>&lt;1</w:t>
            </w:r>
          </w:p>
        </w:tc>
        <w:tc>
          <w:tcPr>
            <w:tcW w:w="1080" w:type="dxa"/>
            <w:shd w:val="clear" w:color="auto" w:fill="auto"/>
            <w:noWrap/>
            <w:vAlign w:val="bottom"/>
            <w:hideMark/>
          </w:tcPr>
          <w:p w:rsidR="00630402" w:rsidRPr="00630402" w:rsidRDefault="00630402" w:rsidP="00630402">
            <w:pPr>
              <w:spacing w:after="0"/>
              <w:contextualSpacing w:val="0"/>
              <w:jc w:val="right"/>
              <w:rPr>
                <w:rFonts w:eastAsia="Times New Roman" w:cs="Times New Roman"/>
                <w:szCs w:val="24"/>
              </w:rPr>
            </w:pPr>
            <w:r w:rsidRPr="00630402">
              <w:rPr>
                <w:rFonts w:eastAsia="Times New Roman" w:cs="Times New Roman"/>
                <w:szCs w:val="24"/>
              </w:rPr>
              <w:t>0</w:t>
            </w:r>
          </w:p>
        </w:tc>
        <w:tc>
          <w:tcPr>
            <w:tcW w:w="1080" w:type="dxa"/>
            <w:shd w:val="clear" w:color="auto" w:fill="auto"/>
            <w:noWrap/>
            <w:vAlign w:val="bottom"/>
            <w:hideMark/>
          </w:tcPr>
          <w:p w:rsidR="00630402" w:rsidRPr="00630402" w:rsidRDefault="00630402" w:rsidP="00CB3929">
            <w:pPr>
              <w:spacing w:after="0"/>
              <w:contextualSpacing w:val="0"/>
              <w:jc w:val="center"/>
              <w:rPr>
                <w:rFonts w:eastAsia="Times New Roman" w:cs="Times New Roman"/>
                <w:szCs w:val="24"/>
              </w:rPr>
            </w:pPr>
            <w:r w:rsidRPr="00630402">
              <w:rPr>
                <w:rFonts w:eastAsia="Times New Roman" w:cs="Times New Roman"/>
                <w:szCs w:val="24"/>
              </w:rPr>
              <w:t>µg/L</w:t>
            </w:r>
          </w:p>
        </w:tc>
        <w:tc>
          <w:tcPr>
            <w:tcW w:w="1080" w:type="dxa"/>
            <w:shd w:val="clear" w:color="auto" w:fill="auto"/>
            <w:noWrap/>
            <w:vAlign w:val="bottom"/>
            <w:hideMark/>
          </w:tcPr>
          <w:p w:rsidR="00630402" w:rsidRPr="00630402" w:rsidRDefault="00CB3929" w:rsidP="00CB3929">
            <w:pPr>
              <w:spacing w:after="0"/>
              <w:contextualSpacing w:val="0"/>
              <w:jc w:val="center"/>
              <w:rPr>
                <w:rFonts w:eastAsia="Times New Roman" w:cs="Times New Roman"/>
                <w:szCs w:val="24"/>
              </w:rPr>
            </w:pPr>
            <w:r>
              <w:rPr>
                <w:rFonts w:eastAsia="Times New Roman" w:cs="Times New Roman"/>
                <w:szCs w:val="24"/>
              </w:rPr>
              <w:t>ICP/MS</w:t>
            </w:r>
          </w:p>
        </w:tc>
        <w:tc>
          <w:tcPr>
            <w:tcW w:w="1080" w:type="dxa"/>
            <w:shd w:val="clear" w:color="auto" w:fill="auto"/>
            <w:noWrap/>
            <w:vAlign w:val="bottom"/>
            <w:hideMark/>
          </w:tcPr>
          <w:p w:rsidR="00630402" w:rsidRPr="00630402" w:rsidRDefault="00630402" w:rsidP="00630402">
            <w:pPr>
              <w:spacing w:after="0"/>
              <w:contextualSpacing w:val="0"/>
              <w:jc w:val="right"/>
              <w:rPr>
                <w:rFonts w:eastAsia="Times New Roman" w:cs="Times New Roman"/>
                <w:szCs w:val="24"/>
              </w:rPr>
            </w:pPr>
            <w:r w:rsidRPr="00630402">
              <w:rPr>
                <w:rFonts w:eastAsia="Times New Roman" w:cs="Times New Roman"/>
                <w:szCs w:val="24"/>
              </w:rPr>
              <w:t>0.0</w:t>
            </w:r>
          </w:p>
        </w:tc>
      </w:tr>
      <w:tr w:rsidR="00630402" w:rsidRPr="00630402" w:rsidTr="00630402">
        <w:trPr>
          <w:trHeight w:val="315"/>
        </w:trPr>
        <w:tc>
          <w:tcPr>
            <w:tcW w:w="2720" w:type="dxa"/>
            <w:shd w:val="clear" w:color="auto" w:fill="auto"/>
            <w:noWrap/>
            <w:vAlign w:val="bottom"/>
            <w:hideMark/>
          </w:tcPr>
          <w:p w:rsidR="00630402" w:rsidRPr="00630402" w:rsidRDefault="00630402" w:rsidP="00630402">
            <w:pPr>
              <w:spacing w:after="0"/>
              <w:contextualSpacing w:val="0"/>
              <w:rPr>
                <w:rFonts w:eastAsia="Times New Roman" w:cs="Times New Roman"/>
                <w:szCs w:val="24"/>
              </w:rPr>
            </w:pPr>
            <w:r w:rsidRPr="00630402">
              <w:rPr>
                <w:rFonts w:eastAsia="Times New Roman" w:cs="Times New Roman"/>
                <w:szCs w:val="24"/>
              </w:rPr>
              <w:t>Reliance - Bridgeport</w:t>
            </w:r>
          </w:p>
        </w:tc>
        <w:tc>
          <w:tcPr>
            <w:tcW w:w="460" w:type="dxa"/>
            <w:shd w:val="clear" w:color="auto" w:fill="auto"/>
            <w:noWrap/>
            <w:vAlign w:val="bottom"/>
            <w:hideMark/>
          </w:tcPr>
          <w:p w:rsidR="00630402" w:rsidRPr="00630402" w:rsidRDefault="00630402" w:rsidP="00630402">
            <w:pPr>
              <w:spacing w:after="0"/>
              <w:contextualSpacing w:val="0"/>
              <w:rPr>
                <w:rFonts w:eastAsia="Times New Roman" w:cs="Times New Roman"/>
                <w:szCs w:val="24"/>
              </w:rPr>
            </w:pPr>
            <w:r w:rsidRPr="00630402">
              <w:rPr>
                <w:rFonts w:eastAsia="Times New Roman" w:cs="Times New Roman"/>
                <w:szCs w:val="24"/>
              </w:rPr>
              <w:t>&lt;1</w:t>
            </w:r>
          </w:p>
        </w:tc>
        <w:tc>
          <w:tcPr>
            <w:tcW w:w="1080" w:type="dxa"/>
            <w:shd w:val="clear" w:color="auto" w:fill="auto"/>
            <w:noWrap/>
            <w:vAlign w:val="bottom"/>
            <w:hideMark/>
          </w:tcPr>
          <w:p w:rsidR="00630402" w:rsidRPr="00630402" w:rsidRDefault="00630402" w:rsidP="00630402">
            <w:pPr>
              <w:spacing w:after="0"/>
              <w:contextualSpacing w:val="0"/>
              <w:jc w:val="right"/>
              <w:rPr>
                <w:rFonts w:eastAsia="Times New Roman" w:cs="Times New Roman"/>
                <w:szCs w:val="24"/>
              </w:rPr>
            </w:pPr>
            <w:r w:rsidRPr="00630402">
              <w:rPr>
                <w:rFonts w:eastAsia="Times New Roman" w:cs="Times New Roman"/>
                <w:szCs w:val="24"/>
              </w:rPr>
              <w:t>0</w:t>
            </w:r>
          </w:p>
        </w:tc>
        <w:tc>
          <w:tcPr>
            <w:tcW w:w="1080" w:type="dxa"/>
            <w:shd w:val="clear" w:color="auto" w:fill="auto"/>
            <w:noWrap/>
            <w:vAlign w:val="bottom"/>
            <w:hideMark/>
          </w:tcPr>
          <w:p w:rsidR="00630402" w:rsidRPr="00630402" w:rsidRDefault="00630402" w:rsidP="00CB3929">
            <w:pPr>
              <w:spacing w:after="0"/>
              <w:contextualSpacing w:val="0"/>
              <w:jc w:val="center"/>
              <w:rPr>
                <w:rFonts w:eastAsia="Times New Roman" w:cs="Times New Roman"/>
                <w:szCs w:val="24"/>
              </w:rPr>
            </w:pPr>
            <w:r w:rsidRPr="00630402">
              <w:rPr>
                <w:rFonts w:eastAsia="Times New Roman" w:cs="Times New Roman"/>
                <w:szCs w:val="24"/>
              </w:rPr>
              <w:t>µg/L</w:t>
            </w:r>
          </w:p>
        </w:tc>
        <w:tc>
          <w:tcPr>
            <w:tcW w:w="1080" w:type="dxa"/>
            <w:shd w:val="clear" w:color="auto" w:fill="auto"/>
            <w:noWrap/>
            <w:vAlign w:val="bottom"/>
            <w:hideMark/>
          </w:tcPr>
          <w:p w:rsidR="00630402" w:rsidRPr="00630402" w:rsidRDefault="00CB3929" w:rsidP="00CB3929">
            <w:pPr>
              <w:spacing w:after="0"/>
              <w:contextualSpacing w:val="0"/>
              <w:jc w:val="center"/>
              <w:rPr>
                <w:rFonts w:eastAsia="Times New Roman" w:cs="Times New Roman"/>
                <w:szCs w:val="24"/>
              </w:rPr>
            </w:pPr>
            <w:r>
              <w:rPr>
                <w:rFonts w:eastAsia="Times New Roman" w:cs="Times New Roman"/>
                <w:szCs w:val="24"/>
              </w:rPr>
              <w:t>ICP/MS</w:t>
            </w:r>
          </w:p>
        </w:tc>
        <w:tc>
          <w:tcPr>
            <w:tcW w:w="1080" w:type="dxa"/>
            <w:shd w:val="clear" w:color="auto" w:fill="auto"/>
            <w:noWrap/>
            <w:vAlign w:val="bottom"/>
            <w:hideMark/>
          </w:tcPr>
          <w:p w:rsidR="00630402" w:rsidRPr="00630402" w:rsidRDefault="00630402" w:rsidP="00630402">
            <w:pPr>
              <w:spacing w:after="0"/>
              <w:contextualSpacing w:val="0"/>
              <w:jc w:val="right"/>
              <w:rPr>
                <w:rFonts w:eastAsia="Times New Roman" w:cs="Times New Roman"/>
                <w:szCs w:val="24"/>
              </w:rPr>
            </w:pPr>
            <w:r w:rsidRPr="00630402">
              <w:rPr>
                <w:rFonts w:eastAsia="Times New Roman" w:cs="Times New Roman"/>
                <w:szCs w:val="24"/>
              </w:rPr>
              <w:t>0.0</w:t>
            </w:r>
          </w:p>
        </w:tc>
      </w:tr>
      <w:tr w:rsidR="00630402" w:rsidRPr="00630402" w:rsidTr="00630402">
        <w:trPr>
          <w:trHeight w:val="315"/>
        </w:trPr>
        <w:tc>
          <w:tcPr>
            <w:tcW w:w="2720" w:type="dxa"/>
            <w:shd w:val="clear" w:color="auto" w:fill="auto"/>
            <w:noWrap/>
            <w:vAlign w:val="bottom"/>
            <w:hideMark/>
          </w:tcPr>
          <w:p w:rsidR="00630402" w:rsidRPr="00630402" w:rsidRDefault="00630402" w:rsidP="00630402">
            <w:pPr>
              <w:spacing w:after="0"/>
              <w:contextualSpacing w:val="0"/>
              <w:rPr>
                <w:rFonts w:eastAsia="Times New Roman" w:cs="Times New Roman"/>
                <w:szCs w:val="24"/>
              </w:rPr>
            </w:pPr>
            <w:r w:rsidRPr="00630402">
              <w:rPr>
                <w:rFonts w:eastAsia="Times New Roman" w:cs="Times New Roman"/>
                <w:szCs w:val="24"/>
              </w:rPr>
              <w:t>Analabs</w:t>
            </w:r>
          </w:p>
        </w:tc>
        <w:tc>
          <w:tcPr>
            <w:tcW w:w="460" w:type="dxa"/>
            <w:shd w:val="clear" w:color="auto" w:fill="auto"/>
            <w:noWrap/>
            <w:vAlign w:val="bottom"/>
            <w:hideMark/>
          </w:tcPr>
          <w:p w:rsidR="00630402" w:rsidRPr="00630402" w:rsidRDefault="00630402" w:rsidP="00630402">
            <w:pPr>
              <w:spacing w:after="0"/>
              <w:contextualSpacing w:val="0"/>
              <w:rPr>
                <w:rFonts w:eastAsia="Times New Roman" w:cs="Times New Roman"/>
                <w:szCs w:val="24"/>
              </w:rPr>
            </w:pPr>
          </w:p>
        </w:tc>
        <w:tc>
          <w:tcPr>
            <w:tcW w:w="1080" w:type="dxa"/>
            <w:shd w:val="clear" w:color="auto" w:fill="auto"/>
            <w:noWrap/>
            <w:vAlign w:val="bottom"/>
            <w:hideMark/>
          </w:tcPr>
          <w:p w:rsidR="00630402" w:rsidRPr="00630402" w:rsidRDefault="00630402" w:rsidP="00630402">
            <w:pPr>
              <w:spacing w:after="0"/>
              <w:contextualSpacing w:val="0"/>
              <w:jc w:val="right"/>
              <w:rPr>
                <w:rFonts w:eastAsia="Times New Roman" w:cs="Times New Roman"/>
                <w:szCs w:val="24"/>
              </w:rPr>
            </w:pPr>
            <w:r w:rsidRPr="00630402">
              <w:rPr>
                <w:rFonts w:eastAsia="Times New Roman" w:cs="Times New Roman"/>
                <w:szCs w:val="24"/>
              </w:rPr>
              <w:t>3.79</w:t>
            </w:r>
          </w:p>
        </w:tc>
        <w:tc>
          <w:tcPr>
            <w:tcW w:w="1080" w:type="dxa"/>
            <w:shd w:val="clear" w:color="auto" w:fill="auto"/>
            <w:noWrap/>
            <w:vAlign w:val="bottom"/>
            <w:hideMark/>
          </w:tcPr>
          <w:p w:rsidR="00630402" w:rsidRPr="00630402" w:rsidRDefault="00630402" w:rsidP="00CB3929">
            <w:pPr>
              <w:spacing w:after="0"/>
              <w:contextualSpacing w:val="0"/>
              <w:jc w:val="center"/>
              <w:rPr>
                <w:rFonts w:eastAsia="Times New Roman" w:cs="Times New Roman"/>
                <w:szCs w:val="24"/>
              </w:rPr>
            </w:pPr>
            <w:r w:rsidRPr="00630402">
              <w:rPr>
                <w:rFonts w:eastAsia="Times New Roman" w:cs="Times New Roman"/>
                <w:szCs w:val="24"/>
              </w:rPr>
              <w:t>µg/L</w:t>
            </w:r>
          </w:p>
        </w:tc>
        <w:tc>
          <w:tcPr>
            <w:tcW w:w="1080" w:type="dxa"/>
            <w:shd w:val="clear" w:color="auto" w:fill="auto"/>
            <w:noWrap/>
            <w:vAlign w:val="bottom"/>
            <w:hideMark/>
          </w:tcPr>
          <w:p w:rsidR="00630402" w:rsidRPr="00630402" w:rsidRDefault="00CB3929" w:rsidP="00CB3929">
            <w:pPr>
              <w:spacing w:after="0"/>
              <w:contextualSpacing w:val="0"/>
              <w:jc w:val="center"/>
              <w:rPr>
                <w:rFonts w:eastAsia="Times New Roman" w:cs="Times New Roman"/>
                <w:szCs w:val="24"/>
              </w:rPr>
            </w:pPr>
            <w:r>
              <w:rPr>
                <w:rFonts w:eastAsia="Times New Roman" w:cs="Times New Roman"/>
                <w:szCs w:val="24"/>
              </w:rPr>
              <w:t>ICP/MS</w:t>
            </w:r>
          </w:p>
        </w:tc>
        <w:tc>
          <w:tcPr>
            <w:tcW w:w="1080" w:type="dxa"/>
            <w:shd w:val="clear" w:color="auto" w:fill="auto"/>
            <w:noWrap/>
            <w:vAlign w:val="bottom"/>
            <w:hideMark/>
          </w:tcPr>
          <w:p w:rsidR="00630402" w:rsidRPr="00630402" w:rsidRDefault="00630402" w:rsidP="00630402">
            <w:pPr>
              <w:spacing w:after="0"/>
              <w:contextualSpacing w:val="0"/>
              <w:jc w:val="right"/>
              <w:rPr>
                <w:rFonts w:eastAsia="Times New Roman" w:cs="Times New Roman"/>
                <w:szCs w:val="24"/>
              </w:rPr>
            </w:pPr>
            <w:r w:rsidRPr="00630402">
              <w:rPr>
                <w:rFonts w:eastAsia="Times New Roman" w:cs="Times New Roman"/>
                <w:szCs w:val="24"/>
              </w:rPr>
              <w:t>75.8</w:t>
            </w:r>
          </w:p>
        </w:tc>
      </w:tr>
      <w:tr w:rsidR="00630402" w:rsidRPr="00630402" w:rsidTr="00630402">
        <w:trPr>
          <w:trHeight w:val="315"/>
        </w:trPr>
        <w:tc>
          <w:tcPr>
            <w:tcW w:w="2720" w:type="dxa"/>
            <w:shd w:val="clear" w:color="auto" w:fill="auto"/>
            <w:noWrap/>
            <w:vAlign w:val="bottom"/>
            <w:hideMark/>
          </w:tcPr>
          <w:p w:rsidR="00630402" w:rsidRPr="00630402" w:rsidRDefault="00630402" w:rsidP="00630402">
            <w:pPr>
              <w:spacing w:after="0"/>
              <w:contextualSpacing w:val="0"/>
              <w:rPr>
                <w:rFonts w:eastAsia="Times New Roman" w:cs="Times New Roman"/>
                <w:szCs w:val="24"/>
              </w:rPr>
            </w:pPr>
            <w:r w:rsidRPr="00630402">
              <w:rPr>
                <w:rFonts w:eastAsia="Times New Roman" w:cs="Times New Roman"/>
                <w:szCs w:val="24"/>
              </w:rPr>
              <w:t>Tradet</w:t>
            </w:r>
          </w:p>
        </w:tc>
        <w:tc>
          <w:tcPr>
            <w:tcW w:w="460" w:type="dxa"/>
            <w:shd w:val="clear" w:color="auto" w:fill="auto"/>
            <w:noWrap/>
            <w:vAlign w:val="bottom"/>
            <w:hideMark/>
          </w:tcPr>
          <w:p w:rsidR="00630402" w:rsidRPr="00630402" w:rsidRDefault="00630402" w:rsidP="00630402">
            <w:pPr>
              <w:spacing w:after="0"/>
              <w:contextualSpacing w:val="0"/>
              <w:rPr>
                <w:rFonts w:eastAsia="Times New Roman" w:cs="Times New Roman"/>
                <w:szCs w:val="24"/>
              </w:rPr>
            </w:pPr>
          </w:p>
        </w:tc>
        <w:tc>
          <w:tcPr>
            <w:tcW w:w="1080" w:type="dxa"/>
            <w:shd w:val="clear" w:color="auto" w:fill="auto"/>
            <w:noWrap/>
            <w:vAlign w:val="bottom"/>
            <w:hideMark/>
          </w:tcPr>
          <w:p w:rsidR="00630402" w:rsidRPr="00630402" w:rsidRDefault="00630402" w:rsidP="00630402">
            <w:pPr>
              <w:spacing w:after="0"/>
              <w:contextualSpacing w:val="0"/>
              <w:jc w:val="right"/>
              <w:rPr>
                <w:rFonts w:eastAsia="Times New Roman" w:cs="Times New Roman"/>
                <w:szCs w:val="24"/>
              </w:rPr>
            </w:pPr>
            <w:r w:rsidRPr="00630402">
              <w:rPr>
                <w:rFonts w:eastAsia="Times New Roman" w:cs="Times New Roman"/>
                <w:szCs w:val="24"/>
              </w:rPr>
              <w:t>5.7</w:t>
            </w:r>
          </w:p>
        </w:tc>
        <w:tc>
          <w:tcPr>
            <w:tcW w:w="1080" w:type="dxa"/>
            <w:shd w:val="clear" w:color="auto" w:fill="auto"/>
            <w:noWrap/>
            <w:vAlign w:val="bottom"/>
            <w:hideMark/>
          </w:tcPr>
          <w:p w:rsidR="00630402" w:rsidRPr="00630402" w:rsidRDefault="00630402" w:rsidP="00CB3929">
            <w:pPr>
              <w:spacing w:after="0"/>
              <w:contextualSpacing w:val="0"/>
              <w:jc w:val="center"/>
              <w:rPr>
                <w:rFonts w:eastAsia="Times New Roman" w:cs="Times New Roman"/>
                <w:szCs w:val="24"/>
              </w:rPr>
            </w:pPr>
            <w:r w:rsidRPr="00630402">
              <w:rPr>
                <w:rFonts w:eastAsia="Times New Roman" w:cs="Times New Roman"/>
                <w:szCs w:val="24"/>
              </w:rPr>
              <w:t>µg/L</w:t>
            </w:r>
          </w:p>
        </w:tc>
        <w:tc>
          <w:tcPr>
            <w:tcW w:w="1080" w:type="dxa"/>
            <w:shd w:val="clear" w:color="auto" w:fill="auto"/>
            <w:noWrap/>
            <w:vAlign w:val="bottom"/>
            <w:hideMark/>
          </w:tcPr>
          <w:p w:rsidR="00630402" w:rsidRPr="00630402" w:rsidRDefault="00CB3929" w:rsidP="00CB3929">
            <w:pPr>
              <w:spacing w:after="0"/>
              <w:contextualSpacing w:val="0"/>
              <w:jc w:val="center"/>
              <w:rPr>
                <w:rFonts w:eastAsia="Times New Roman" w:cs="Times New Roman"/>
                <w:szCs w:val="24"/>
              </w:rPr>
            </w:pPr>
            <w:r>
              <w:rPr>
                <w:rFonts w:eastAsia="Times New Roman" w:cs="Times New Roman"/>
                <w:szCs w:val="24"/>
              </w:rPr>
              <w:t>GHAA</w:t>
            </w:r>
          </w:p>
        </w:tc>
        <w:tc>
          <w:tcPr>
            <w:tcW w:w="1080" w:type="dxa"/>
            <w:shd w:val="clear" w:color="auto" w:fill="auto"/>
            <w:noWrap/>
            <w:vAlign w:val="bottom"/>
            <w:hideMark/>
          </w:tcPr>
          <w:p w:rsidR="00630402" w:rsidRPr="00630402" w:rsidRDefault="00630402" w:rsidP="00630402">
            <w:pPr>
              <w:spacing w:after="0"/>
              <w:contextualSpacing w:val="0"/>
              <w:jc w:val="right"/>
              <w:rPr>
                <w:rFonts w:eastAsia="Times New Roman" w:cs="Times New Roman"/>
                <w:szCs w:val="24"/>
              </w:rPr>
            </w:pPr>
            <w:r w:rsidRPr="00630402">
              <w:rPr>
                <w:rFonts w:eastAsia="Times New Roman" w:cs="Times New Roman"/>
                <w:szCs w:val="24"/>
              </w:rPr>
              <w:t>114.0</w:t>
            </w:r>
          </w:p>
        </w:tc>
      </w:tr>
      <w:tr w:rsidR="00630402" w:rsidRPr="00630402" w:rsidTr="00630402">
        <w:trPr>
          <w:trHeight w:val="315"/>
        </w:trPr>
        <w:tc>
          <w:tcPr>
            <w:tcW w:w="2720" w:type="dxa"/>
            <w:shd w:val="clear" w:color="auto" w:fill="auto"/>
            <w:noWrap/>
            <w:vAlign w:val="bottom"/>
            <w:hideMark/>
          </w:tcPr>
          <w:p w:rsidR="00630402" w:rsidRPr="00630402" w:rsidRDefault="00630402" w:rsidP="00630402">
            <w:pPr>
              <w:spacing w:after="0"/>
              <w:contextualSpacing w:val="0"/>
              <w:rPr>
                <w:rFonts w:eastAsia="Times New Roman" w:cs="Times New Roman"/>
                <w:szCs w:val="24"/>
              </w:rPr>
            </w:pPr>
            <w:r w:rsidRPr="00630402">
              <w:rPr>
                <w:rFonts w:eastAsia="Times New Roman" w:cs="Times New Roman"/>
                <w:szCs w:val="24"/>
              </w:rPr>
              <w:t>REI Consultants</w:t>
            </w:r>
          </w:p>
        </w:tc>
        <w:tc>
          <w:tcPr>
            <w:tcW w:w="460" w:type="dxa"/>
            <w:shd w:val="clear" w:color="auto" w:fill="auto"/>
            <w:noWrap/>
            <w:vAlign w:val="bottom"/>
            <w:hideMark/>
          </w:tcPr>
          <w:p w:rsidR="00630402" w:rsidRPr="00630402" w:rsidRDefault="00630402" w:rsidP="00630402">
            <w:pPr>
              <w:spacing w:after="0"/>
              <w:contextualSpacing w:val="0"/>
              <w:rPr>
                <w:rFonts w:eastAsia="Times New Roman" w:cs="Times New Roman"/>
                <w:szCs w:val="24"/>
              </w:rPr>
            </w:pPr>
          </w:p>
        </w:tc>
        <w:tc>
          <w:tcPr>
            <w:tcW w:w="1080" w:type="dxa"/>
            <w:shd w:val="clear" w:color="auto" w:fill="auto"/>
            <w:noWrap/>
            <w:vAlign w:val="bottom"/>
            <w:hideMark/>
          </w:tcPr>
          <w:p w:rsidR="00630402" w:rsidRPr="00630402" w:rsidRDefault="00630402" w:rsidP="00630402">
            <w:pPr>
              <w:spacing w:after="0"/>
              <w:contextualSpacing w:val="0"/>
              <w:jc w:val="right"/>
              <w:rPr>
                <w:rFonts w:eastAsia="Times New Roman" w:cs="Times New Roman"/>
                <w:szCs w:val="24"/>
              </w:rPr>
            </w:pPr>
            <w:r w:rsidRPr="00630402">
              <w:rPr>
                <w:rFonts w:eastAsia="Times New Roman" w:cs="Times New Roman"/>
                <w:szCs w:val="24"/>
              </w:rPr>
              <w:t>4.8</w:t>
            </w:r>
          </w:p>
        </w:tc>
        <w:tc>
          <w:tcPr>
            <w:tcW w:w="1080" w:type="dxa"/>
            <w:shd w:val="clear" w:color="auto" w:fill="auto"/>
            <w:noWrap/>
            <w:vAlign w:val="bottom"/>
            <w:hideMark/>
          </w:tcPr>
          <w:p w:rsidR="00630402" w:rsidRPr="00630402" w:rsidRDefault="00630402" w:rsidP="00CB3929">
            <w:pPr>
              <w:spacing w:after="0"/>
              <w:contextualSpacing w:val="0"/>
              <w:jc w:val="center"/>
              <w:rPr>
                <w:rFonts w:eastAsia="Times New Roman" w:cs="Times New Roman"/>
                <w:szCs w:val="24"/>
              </w:rPr>
            </w:pPr>
            <w:r w:rsidRPr="00630402">
              <w:rPr>
                <w:rFonts w:eastAsia="Times New Roman" w:cs="Times New Roman"/>
                <w:szCs w:val="24"/>
              </w:rPr>
              <w:t>µg/L</w:t>
            </w:r>
          </w:p>
        </w:tc>
        <w:tc>
          <w:tcPr>
            <w:tcW w:w="1080" w:type="dxa"/>
            <w:shd w:val="clear" w:color="auto" w:fill="auto"/>
            <w:noWrap/>
            <w:vAlign w:val="bottom"/>
            <w:hideMark/>
          </w:tcPr>
          <w:p w:rsidR="00630402" w:rsidRPr="00630402" w:rsidRDefault="00CB3929" w:rsidP="00CB3929">
            <w:pPr>
              <w:spacing w:after="0"/>
              <w:contextualSpacing w:val="0"/>
              <w:jc w:val="center"/>
              <w:rPr>
                <w:rFonts w:eastAsia="Times New Roman" w:cs="Times New Roman"/>
                <w:szCs w:val="24"/>
              </w:rPr>
            </w:pPr>
            <w:r>
              <w:rPr>
                <w:rFonts w:eastAsia="Times New Roman" w:cs="Times New Roman"/>
                <w:szCs w:val="24"/>
              </w:rPr>
              <w:t>GHAF</w:t>
            </w:r>
          </w:p>
        </w:tc>
        <w:tc>
          <w:tcPr>
            <w:tcW w:w="1080" w:type="dxa"/>
            <w:shd w:val="clear" w:color="auto" w:fill="auto"/>
            <w:noWrap/>
            <w:vAlign w:val="bottom"/>
            <w:hideMark/>
          </w:tcPr>
          <w:p w:rsidR="00630402" w:rsidRPr="00630402" w:rsidRDefault="00630402" w:rsidP="00630402">
            <w:pPr>
              <w:spacing w:after="0"/>
              <w:contextualSpacing w:val="0"/>
              <w:jc w:val="right"/>
              <w:rPr>
                <w:rFonts w:eastAsia="Times New Roman" w:cs="Times New Roman"/>
                <w:szCs w:val="24"/>
              </w:rPr>
            </w:pPr>
            <w:r w:rsidRPr="00630402">
              <w:rPr>
                <w:rFonts w:eastAsia="Times New Roman" w:cs="Times New Roman"/>
                <w:szCs w:val="24"/>
              </w:rPr>
              <w:t>96.0</w:t>
            </w:r>
          </w:p>
        </w:tc>
      </w:tr>
      <w:tr w:rsidR="00630402" w:rsidRPr="00630402" w:rsidTr="00630402">
        <w:trPr>
          <w:trHeight w:val="315"/>
        </w:trPr>
        <w:tc>
          <w:tcPr>
            <w:tcW w:w="2720" w:type="dxa"/>
            <w:shd w:val="clear" w:color="auto" w:fill="auto"/>
            <w:noWrap/>
            <w:vAlign w:val="bottom"/>
            <w:hideMark/>
          </w:tcPr>
          <w:p w:rsidR="00630402" w:rsidRPr="00630402" w:rsidRDefault="00630402" w:rsidP="00630402">
            <w:pPr>
              <w:spacing w:after="0"/>
              <w:contextualSpacing w:val="0"/>
              <w:rPr>
                <w:rFonts w:eastAsia="Times New Roman" w:cs="Times New Roman"/>
                <w:szCs w:val="24"/>
              </w:rPr>
            </w:pPr>
          </w:p>
        </w:tc>
        <w:tc>
          <w:tcPr>
            <w:tcW w:w="460" w:type="dxa"/>
            <w:shd w:val="clear" w:color="auto" w:fill="auto"/>
            <w:noWrap/>
            <w:vAlign w:val="bottom"/>
            <w:hideMark/>
          </w:tcPr>
          <w:p w:rsidR="00630402" w:rsidRPr="00630402" w:rsidRDefault="00630402" w:rsidP="00630402">
            <w:pPr>
              <w:spacing w:after="0"/>
              <w:contextualSpacing w:val="0"/>
              <w:rPr>
                <w:rFonts w:eastAsia="Times New Roman" w:cs="Times New Roman"/>
                <w:szCs w:val="24"/>
              </w:rPr>
            </w:pPr>
          </w:p>
        </w:tc>
        <w:tc>
          <w:tcPr>
            <w:tcW w:w="1080" w:type="dxa"/>
            <w:shd w:val="clear" w:color="auto" w:fill="auto"/>
            <w:noWrap/>
            <w:vAlign w:val="bottom"/>
            <w:hideMark/>
          </w:tcPr>
          <w:p w:rsidR="00630402" w:rsidRPr="00630402" w:rsidRDefault="00630402" w:rsidP="00630402">
            <w:pPr>
              <w:spacing w:after="0"/>
              <w:contextualSpacing w:val="0"/>
              <w:rPr>
                <w:rFonts w:eastAsia="Times New Roman" w:cs="Times New Roman"/>
                <w:szCs w:val="24"/>
              </w:rPr>
            </w:pPr>
          </w:p>
        </w:tc>
        <w:tc>
          <w:tcPr>
            <w:tcW w:w="1080" w:type="dxa"/>
            <w:shd w:val="clear" w:color="auto" w:fill="auto"/>
            <w:noWrap/>
            <w:vAlign w:val="bottom"/>
            <w:hideMark/>
          </w:tcPr>
          <w:p w:rsidR="00630402" w:rsidRPr="00630402" w:rsidRDefault="00630402" w:rsidP="00630402">
            <w:pPr>
              <w:spacing w:after="0"/>
              <w:contextualSpacing w:val="0"/>
              <w:rPr>
                <w:rFonts w:eastAsia="Times New Roman" w:cs="Times New Roman"/>
                <w:szCs w:val="24"/>
              </w:rPr>
            </w:pPr>
          </w:p>
        </w:tc>
        <w:tc>
          <w:tcPr>
            <w:tcW w:w="1080" w:type="dxa"/>
            <w:shd w:val="clear" w:color="auto" w:fill="auto"/>
            <w:noWrap/>
            <w:vAlign w:val="bottom"/>
            <w:hideMark/>
          </w:tcPr>
          <w:p w:rsidR="00630402" w:rsidRPr="00630402" w:rsidRDefault="00630402" w:rsidP="00CB3929">
            <w:pPr>
              <w:spacing w:after="0"/>
              <w:contextualSpacing w:val="0"/>
              <w:jc w:val="center"/>
              <w:rPr>
                <w:rFonts w:eastAsia="Times New Roman" w:cs="Times New Roman"/>
                <w:szCs w:val="24"/>
              </w:rPr>
            </w:pPr>
          </w:p>
        </w:tc>
        <w:tc>
          <w:tcPr>
            <w:tcW w:w="1080" w:type="dxa"/>
            <w:shd w:val="clear" w:color="auto" w:fill="auto"/>
            <w:noWrap/>
            <w:vAlign w:val="bottom"/>
            <w:hideMark/>
          </w:tcPr>
          <w:p w:rsidR="00630402" w:rsidRPr="00630402" w:rsidRDefault="00630402" w:rsidP="00630402">
            <w:pPr>
              <w:spacing w:after="0"/>
              <w:contextualSpacing w:val="0"/>
              <w:rPr>
                <w:rFonts w:eastAsia="Times New Roman" w:cs="Times New Roman"/>
                <w:szCs w:val="24"/>
              </w:rPr>
            </w:pPr>
          </w:p>
        </w:tc>
      </w:tr>
      <w:tr w:rsidR="00630402" w:rsidRPr="00630402" w:rsidTr="00630402">
        <w:trPr>
          <w:trHeight w:val="315"/>
        </w:trPr>
        <w:tc>
          <w:tcPr>
            <w:tcW w:w="2720" w:type="dxa"/>
            <w:shd w:val="clear" w:color="auto" w:fill="auto"/>
            <w:noWrap/>
            <w:vAlign w:val="bottom"/>
            <w:hideMark/>
          </w:tcPr>
          <w:p w:rsidR="00630402" w:rsidRPr="00630402" w:rsidRDefault="00630402" w:rsidP="00630402">
            <w:pPr>
              <w:spacing w:after="0"/>
              <w:contextualSpacing w:val="0"/>
              <w:rPr>
                <w:rFonts w:eastAsia="Times New Roman" w:cs="Times New Roman"/>
                <w:szCs w:val="24"/>
              </w:rPr>
            </w:pPr>
            <w:r w:rsidRPr="00630402">
              <w:rPr>
                <w:rFonts w:eastAsia="Times New Roman" w:cs="Times New Roman"/>
                <w:szCs w:val="24"/>
              </w:rPr>
              <w:t>Referee</w:t>
            </w:r>
          </w:p>
        </w:tc>
        <w:tc>
          <w:tcPr>
            <w:tcW w:w="460" w:type="dxa"/>
            <w:shd w:val="clear" w:color="auto" w:fill="auto"/>
            <w:noWrap/>
            <w:vAlign w:val="bottom"/>
            <w:hideMark/>
          </w:tcPr>
          <w:p w:rsidR="00630402" w:rsidRPr="00630402" w:rsidRDefault="00630402" w:rsidP="00630402">
            <w:pPr>
              <w:spacing w:after="0"/>
              <w:contextualSpacing w:val="0"/>
              <w:rPr>
                <w:rFonts w:eastAsia="Times New Roman" w:cs="Times New Roman"/>
                <w:szCs w:val="24"/>
              </w:rPr>
            </w:pPr>
          </w:p>
        </w:tc>
        <w:tc>
          <w:tcPr>
            <w:tcW w:w="1080" w:type="dxa"/>
            <w:shd w:val="clear" w:color="auto" w:fill="auto"/>
            <w:noWrap/>
            <w:vAlign w:val="bottom"/>
            <w:hideMark/>
          </w:tcPr>
          <w:p w:rsidR="00630402" w:rsidRPr="00630402" w:rsidRDefault="00630402" w:rsidP="00630402">
            <w:pPr>
              <w:spacing w:after="0"/>
              <w:contextualSpacing w:val="0"/>
              <w:jc w:val="right"/>
              <w:rPr>
                <w:rFonts w:eastAsia="Times New Roman" w:cs="Times New Roman"/>
                <w:szCs w:val="24"/>
              </w:rPr>
            </w:pPr>
            <w:r w:rsidRPr="00630402">
              <w:rPr>
                <w:rFonts w:eastAsia="Times New Roman" w:cs="Times New Roman"/>
                <w:szCs w:val="24"/>
              </w:rPr>
              <w:t>5.2</w:t>
            </w:r>
          </w:p>
        </w:tc>
        <w:tc>
          <w:tcPr>
            <w:tcW w:w="1080" w:type="dxa"/>
            <w:shd w:val="clear" w:color="auto" w:fill="auto"/>
            <w:noWrap/>
            <w:vAlign w:val="bottom"/>
            <w:hideMark/>
          </w:tcPr>
          <w:p w:rsidR="00630402" w:rsidRPr="00630402" w:rsidRDefault="00CB3929" w:rsidP="00CB3929">
            <w:pPr>
              <w:spacing w:after="0"/>
              <w:contextualSpacing w:val="0"/>
              <w:jc w:val="center"/>
              <w:rPr>
                <w:rFonts w:eastAsia="Times New Roman" w:cs="Times New Roman"/>
                <w:szCs w:val="24"/>
              </w:rPr>
            </w:pPr>
            <w:r w:rsidRPr="00630402">
              <w:rPr>
                <w:rFonts w:eastAsia="Times New Roman" w:cs="Times New Roman"/>
                <w:szCs w:val="24"/>
              </w:rPr>
              <w:t>µg/L</w:t>
            </w:r>
          </w:p>
        </w:tc>
        <w:tc>
          <w:tcPr>
            <w:tcW w:w="1080" w:type="dxa"/>
            <w:shd w:val="clear" w:color="auto" w:fill="auto"/>
            <w:noWrap/>
            <w:vAlign w:val="bottom"/>
            <w:hideMark/>
          </w:tcPr>
          <w:p w:rsidR="00630402" w:rsidRPr="00630402" w:rsidRDefault="00CB3929" w:rsidP="00CB3929">
            <w:pPr>
              <w:spacing w:after="0"/>
              <w:contextualSpacing w:val="0"/>
              <w:jc w:val="center"/>
              <w:rPr>
                <w:rFonts w:eastAsia="Times New Roman" w:cs="Times New Roman"/>
                <w:szCs w:val="24"/>
              </w:rPr>
            </w:pPr>
            <w:r>
              <w:rPr>
                <w:rFonts w:eastAsia="Times New Roman" w:cs="Times New Roman"/>
                <w:szCs w:val="24"/>
              </w:rPr>
              <w:t>ICP/MS</w:t>
            </w:r>
          </w:p>
        </w:tc>
        <w:tc>
          <w:tcPr>
            <w:tcW w:w="1080" w:type="dxa"/>
            <w:shd w:val="clear" w:color="auto" w:fill="auto"/>
            <w:noWrap/>
            <w:vAlign w:val="bottom"/>
            <w:hideMark/>
          </w:tcPr>
          <w:p w:rsidR="00630402" w:rsidRPr="00630402" w:rsidRDefault="00630402" w:rsidP="00630402">
            <w:pPr>
              <w:spacing w:after="0"/>
              <w:contextualSpacing w:val="0"/>
              <w:jc w:val="right"/>
              <w:rPr>
                <w:rFonts w:eastAsia="Times New Roman" w:cs="Times New Roman"/>
                <w:szCs w:val="24"/>
              </w:rPr>
            </w:pPr>
            <w:r w:rsidRPr="00630402">
              <w:rPr>
                <w:rFonts w:eastAsia="Times New Roman" w:cs="Times New Roman"/>
                <w:szCs w:val="24"/>
              </w:rPr>
              <w:t>104.0</w:t>
            </w:r>
          </w:p>
        </w:tc>
      </w:tr>
      <w:tr w:rsidR="00630402" w:rsidRPr="00630402" w:rsidTr="00630402">
        <w:trPr>
          <w:trHeight w:val="315"/>
        </w:trPr>
        <w:tc>
          <w:tcPr>
            <w:tcW w:w="2720" w:type="dxa"/>
            <w:shd w:val="clear" w:color="auto" w:fill="auto"/>
            <w:noWrap/>
            <w:vAlign w:val="bottom"/>
            <w:hideMark/>
          </w:tcPr>
          <w:p w:rsidR="00630402" w:rsidRPr="00630402" w:rsidRDefault="00630402" w:rsidP="00630402">
            <w:pPr>
              <w:spacing w:after="0"/>
              <w:contextualSpacing w:val="0"/>
              <w:rPr>
                <w:rFonts w:eastAsia="Times New Roman" w:cs="Times New Roman"/>
                <w:szCs w:val="24"/>
              </w:rPr>
            </w:pPr>
          </w:p>
        </w:tc>
        <w:tc>
          <w:tcPr>
            <w:tcW w:w="460" w:type="dxa"/>
            <w:shd w:val="clear" w:color="auto" w:fill="auto"/>
            <w:noWrap/>
            <w:vAlign w:val="bottom"/>
            <w:hideMark/>
          </w:tcPr>
          <w:p w:rsidR="00630402" w:rsidRPr="00630402" w:rsidRDefault="00630402" w:rsidP="00630402">
            <w:pPr>
              <w:spacing w:after="0"/>
              <w:contextualSpacing w:val="0"/>
              <w:rPr>
                <w:rFonts w:eastAsia="Times New Roman" w:cs="Times New Roman"/>
                <w:szCs w:val="24"/>
              </w:rPr>
            </w:pPr>
          </w:p>
        </w:tc>
        <w:tc>
          <w:tcPr>
            <w:tcW w:w="1080" w:type="dxa"/>
            <w:shd w:val="clear" w:color="auto" w:fill="auto"/>
            <w:noWrap/>
            <w:vAlign w:val="bottom"/>
            <w:hideMark/>
          </w:tcPr>
          <w:p w:rsidR="00630402" w:rsidRPr="00630402" w:rsidRDefault="00630402" w:rsidP="00630402">
            <w:pPr>
              <w:spacing w:after="0"/>
              <w:contextualSpacing w:val="0"/>
              <w:rPr>
                <w:rFonts w:eastAsia="Times New Roman" w:cs="Times New Roman"/>
                <w:szCs w:val="24"/>
              </w:rPr>
            </w:pPr>
          </w:p>
        </w:tc>
        <w:tc>
          <w:tcPr>
            <w:tcW w:w="1080" w:type="dxa"/>
            <w:shd w:val="clear" w:color="auto" w:fill="auto"/>
            <w:noWrap/>
            <w:vAlign w:val="bottom"/>
            <w:hideMark/>
          </w:tcPr>
          <w:p w:rsidR="00630402" w:rsidRPr="00630402" w:rsidRDefault="00630402" w:rsidP="00CB3929">
            <w:pPr>
              <w:spacing w:after="0"/>
              <w:contextualSpacing w:val="0"/>
              <w:jc w:val="center"/>
              <w:rPr>
                <w:rFonts w:eastAsia="Times New Roman" w:cs="Times New Roman"/>
                <w:szCs w:val="24"/>
              </w:rPr>
            </w:pPr>
          </w:p>
        </w:tc>
        <w:tc>
          <w:tcPr>
            <w:tcW w:w="1080" w:type="dxa"/>
            <w:shd w:val="clear" w:color="auto" w:fill="auto"/>
            <w:noWrap/>
            <w:vAlign w:val="bottom"/>
            <w:hideMark/>
          </w:tcPr>
          <w:p w:rsidR="00630402" w:rsidRPr="00630402" w:rsidRDefault="00630402" w:rsidP="00630402">
            <w:pPr>
              <w:spacing w:after="0"/>
              <w:contextualSpacing w:val="0"/>
              <w:rPr>
                <w:rFonts w:eastAsia="Times New Roman" w:cs="Times New Roman"/>
                <w:szCs w:val="24"/>
              </w:rPr>
            </w:pPr>
          </w:p>
        </w:tc>
        <w:tc>
          <w:tcPr>
            <w:tcW w:w="1080" w:type="dxa"/>
            <w:shd w:val="clear" w:color="auto" w:fill="auto"/>
            <w:noWrap/>
            <w:vAlign w:val="bottom"/>
            <w:hideMark/>
          </w:tcPr>
          <w:p w:rsidR="00630402" w:rsidRPr="00630402" w:rsidRDefault="00630402" w:rsidP="00630402">
            <w:pPr>
              <w:spacing w:after="0"/>
              <w:contextualSpacing w:val="0"/>
              <w:rPr>
                <w:rFonts w:eastAsia="Times New Roman" w:cs="Times New Roman"/>
                <w:szCs w:val="24"/>
              </w:rPr>
            </w:pPr>
          </w:p>
        </w:tc>
      </w:tr>
      <w:tr w:rsidR="00630402" w:rsidRPr="00630402" w:rsidTr="00630402">
        <w:trPr>
          <w:trHeight w:val="315"/>
        </w:trPr>
        <w:tc>
          <w:tcPr>
            <w:tcW w:w="2720" w:type="dxa"/>
            <w:shd w:val="clear" w:color="auto" w:fill="auto"/>
            <w:noWrap/>
            <w:vAlign w:val="bottom"/>
            <w:hideMark/>
          </w:tcPr>
          <w:p w:rsidR="00630402" w:rsidRPr="00630402" w:rsidRDefault="00630402" w:rsidP="00630402">
            <w:pPr>
              <w:spacing w:after="0"/>
              <w:contextualSpacing w:val="0"/>
              <w:rPr>
                <w:rFonts w:eastAsia="Times New Roman" w:cs="Times New Roman"/>
                <w:szCs w:val="24"/>
              </w:rPr>
            </w:pPr>
            <w:r w:rsidRPr="00630402">
              <w:rPr>
                <w:rFonts w:eastAsia="Times New Roman" w:cs="Times New Roman"/>
                <w:szCs w:val="24"/>
              </w:rPr>
              <w:t>Average, All data</w:t>
            </w:r>
          </w:p>
        </w:tc>
        <w:tc>
          <w:tcPr>
            <w:tcW w:w="460" w:type="dxa"/>
            <w:shd w:val="clear" w:color="auto" w:fill="auto"/>
            <w:noWrap/>
            <w:vAlign w:val="bottom"/>
            <w:hideMark/>
          </w:tcPr>
          <w:p w:rsidR="00630402" w:rsidRPr="00630402" w:rsidRDefault="00630402" w:rsidP="00630402">
            <w:pPr>
              <w:spacing w:after="0"/>
              <w:contextualSpacing w:val="0"/>
              <w:rPr>
                <w:rFonts w:eastAsia="Times New Roman" w:cs="Times New Roman"/>
                <w:szCs w:val="24"/>
              </w:rPr>
            </w:pPr>
          </w:p>
        </w:tc>
        <w:tc>
          <w:tcPr>
            <w:tcW w:w="1080" w:type="dxa"/>
            <w:shd w:val="clear" w:color="auto" w:fill="auto"/>
            <w:noWrap/>
            <w:vAlign w:val="bottom"/>
            <w:hideMark/>
          </w:tcPr>
          <w:p w:rsidR="00630402" w:rsidRPr="00630402" w:rsidRDefault="00630402" w:rsidP="00630402">
            <w:pPr>
              <w:spacing w:after="0"/>
              <w:contextualSpacing w:val="0"/>
              <w:jc w:val="right"/>
              <w:rPr>
                <w:rFonts w:eastAsia="Times New Roman" w:cs="Times New Roman"/>
                <w:szCs w:val="24"/>
              </w:rPr>
            </w:pPr>
            <w:r w:rsidRPr="00630402">
              <w:rPr>
                <w:rFonts w:eastAsia="Times New Roman" w:cs="Times New Roman"/>
                <w:szCs w:val="24"/>
              </w:rPr>
              <w:t>3.6</w:t>
            </w:r>
          </w:p>
        </w:tc>
        <w:tc>
          <w:tcPr>
            <w:tcW w:w="1080" w:type="dxa"/>
            <w:shd w:val="clear" w:color="auto" w:fill="auto"/>
            <w:noWrap/>
            <w:vAlign w:val="bottom"/>
            <w:hideMark/>
          </w:tcPr>
          <w:p w:rsidR="00630402" w:rsidRPr="00630402" w:rsidRDefault="00CB3929" w:rsidP="00CB3929">
            <w:pPr>
              <w:spacing w:after="0"/>
              <w:contextualSpacing w:val="0"/>
              <w:jc w:val="center"/>
              <w:rPr>
                <w:rFonts w:eastAsia="Times New Roman" w:cs="Times New Roman"/>
                <w:szCs w:val="24"/>
              </w:rPr>
            </w:pPr>
            <w:r w:rsidRPr="00630402">
              <w:rPr>
                <w:rFonts w:eastAsia="Times New Roman" w:cs="Times New Roman"/>
                <w:szCs w:val="24"/>
              </w:rPr>
              <w:t>µg/L</w:t>
            </w:r>
          </w:p>
        </w:tc>
        <w:tc>
          <w:tcPr>
            <w:tcW w:w="1080" w:type="dxa"/>
            <w:shd w:val="clear" w:color="auto" w:fill="auto"/>
            <w:noWrap/>
            <w:vAlign w:val="bottom"/>
            <w:hideMark/>
          </w:tcPr>
          <w:p w:rsidR="00630402" w:rsidRPr="00630402" w:rsidRDefault="00630402" w:rsidP="00630402">
            <w:pPr>
              <w:spacing w:after="0"/>
              <w:contextualSpacing w:val="0"/>
              <w:rPr>
                <w:rFonts w:eastAsia="Times New Roman" w:cs="Times New Roman"/>
                <w:szCs w:val="24"/>
              </w:rPr>
            </w:pPr>
          </w:p>
        </w:tc>
        <w:tc>
          <w:tcPr>
            <w:tcW w:w="1080" w:type="dxa"/>
            <w:shd w:val="clear" w:color="auto" w:fill="auto"/>
            <w:noWrap/>
            <w:vAlign w:val="bottom"/>
            <w:hideMark/>
          </w:tcPr>
          <w:p w:rsidR="00630402" w:rsidRPr="00630402" w:rsidRDefault="00630402" w:rsidP="00630402">
            <w:pPr>
              <w:spacing w:after="0"/>
              <w:contextualSpacing w:val="0"/>
              <w:jc w:val="right"/>
              <w:rPr>
                <w:rFonts w:eastAsia="Times New Roman" w:cs="Times New Roman"/>
                <w:szCs w:val="24"/>
              </w:rPr>
            </w:pPr>
            <w:r w:rsidRPr="00630402">
              <w:rPr>
                <w:rFonts w:eastAsia="Times New Roman" w:cs="Times New Roman"/>
                <w:szCs w:val="24"/>
              </w:rPr>
              <w:t>72.1</w:t>
            </w:r>
          </w:p>
        </w:tc>
      </w:tr>
      <w:tr w:rsidR="00630402" w:rsidRPr="00630402" w:rsidTr="00630402">
        <w:trPr>
          <w:trHeight w:val="315"/>
        </w:trPr>
        <w:tc>
          <w:tcPr>
            <w:tcW w:w="2720" w:type="dxa"/>
            <w:shd w:val="clear" w:color="auto" w:fill="auto"/>
            <w:noWrap/>
            <w:vAlign w:val="bottom"/>
            <w:hideMark/>
          </w:tcPr>
          <w:p w:rsidR="00630402" w:rsidRPr="00630402" w:rsidRDefault="00630402" w:rsidP="00630402">
            <w:pPr>
              <w:spacing w:after="0"/>
              <w:contextualSpacing w:val="0"/>
              <w:rPr>
                <w:rFonts w:eastAsia="Times New Roman" w:cs="Times New Roman"/>
                <w:szCs w:val="24"/>
              </w:rPr>
            </w:pPr>
            <w:r w:rsidRPr="00630402">
              <w:rPr>
                <w:rFonts w:eastAsia="Times New Roman" w:cs="Times New Roman"/>
                <w:szCs w:val="24"/>
              </w:rPr>
              <w:t>Average, GFAA</w:t>
            </w:r>
          </w:p>
        </w:tc>
        <w:tc>
          <w:tcPr>
            <w:tcW w:w="460" w:type="dxa"/>
            <w:shd w:val="clear" w:color="auto" w:fill="auto"/>
            <w:noWrap/>
            <w:vAlign w:val="bottom"/>
            <w:hideMark/>
          </w:tcPr>
          <w:p w:rsidR="00630402" w:rsidRPr="00630402" w:rsidRDefault="00630402" w:rsidP="00630402">
            <w:pPr>
              <w:spacing w:after="0"/>
              <w:contextualSpacing w:val="0"/>
              <w:rPr>
                <w:rFonts w:eastAsia="Times New Roman" w:cs="Times New Roman"/>
                <w:szCs w:val="24"/>
              </w:rPr>
            </w:pPr>
          </w:p>
        </w:tc>
        <w:tc>
          <w:tcPr>
            <w:tcW w:w="1080" w:type="dxa"/>
            <w:shd w:val="clear" w:color="auto" w:fill="auto"/>
            <w:noWrap/>
            <w:vAlign w:val="bottom"/>
            <w:hideMark/>
          </w:tcPr>
          <w:p w:rsidR="00630402" w:rsidRPr="00630402" w:rsidRDefault="00630402" w:rsidP="00630402">
            <w:pPr>
              <w:spacing w:after="0"/>
              <w:contextualSpacing w:val="0"/>
              <w:jc w:val="right"/>
              <w:rPr>
                <w:rFonts w:eastAsia="Times New Roman" w:cs="Times New Roman"/>
                <w:szCs w:val="24"/>
              </w:rPr>
            </w:pPr>
            <w:r w:rsidRPr="00630402">
              <w:rPr>
                <w:rFonts w:eastAsia="Times New Roman" w:cs="Times New Roman"/>
                <w:szCs w:val="24"/>
              </w:rPr>
              <w:t>4.4</w:t>
            </w:r>
          </w:p>
        </w:tc>
        <w:tc>
          <w:tcPr>
            <w:tcW w:w="1080" w:type="dxa"/>
            <w:shd w:val="clear" w:color="auto" w:fill="auto"/>
            <w:noWrap/>
            <w:vAlign w:val="bottom"/>
            <w:hideMark/>
          </w:tcPr>
          <w:p w:rsidR="00630402" w:rsidRPr="00630402" w:rsidRDefault="00CB3929" w:rsidP="00CB3929">
            <w:pPr>
              <w:spacing w:after="0"/>
              <w:contextualSpacing w:val="0"/>
              <w:jc w:val="center"/>
              <w:rPr>
                <w:rFonts w:eastAsia="Times New Roman" w:cs="Times New Roman"/>
                <w:szCs w:val="24"/>
              </w:rPr>
            </w:pPr>
            <w:r w:rsidRPr="00630402">
              <w:rPr>
                <w:rFonts w:eastAsia="Times New Roman" w:cs="Times New Roman"/>
                <w:szCs w:val="24"/>
              </w:rPr>
              <w:t>µg/L</w:t>
            </w:r>
          </w:p>
        </w:tc>
        <w:tc>
          <w:tcPr>
            <w:tcW w:w="1080" w:type="dxa"/>
            <w:shd w:val="clear" w:color="auto" w:fill="auto"/>
            <w:noWrap/>
            <w:vAlign w:val="bottom"/>
            <w:hideMark/>
          </w:tcPr>
          <w:p w:rsidR="00630402" w:rsidRPr="00630402" w:rsidRDefault="00630402" w:rsidP="00630402">
            <w:pPr>
              <w:spacing w:after="0"/>
              <w:contextualSpacing w:val="0"/>
              <w:rPr>
                <w:rFonts w:eastAsia="Times New Roman" w:cs="Times New Roman"/>
                <w:szCs w:val="24"/>
              </w:rPr>
            </w:pPr>
          </w:p>
        </w:tc>
        <w:tc>
          <w:tcPr>
            <w:tcW w:w="1080" w:type="dxa"/>
            <w:shd w:val="clear" w:color="auto" w:fill="auto"/>
            <w:noWrap/>
            <w:vAlign w:val="bottom"/>
            <w:hideMark/>
          </w:tcPr>
          <w:p w:rsidR="00630402" w:rsidRPr="00630402" w:rsidRDefault="00630402" w:rsidP="00630402">
            <w:pPr>
              <w:spacing w:after="0"/>
              <w:contextualSpacing w:val="0"/>
              <w:jc w:val="right"/>
              <w:rPr>
                <w:rFonts w:eastAsia="Times New Roman" w:cs="Times New Roman"/>
                <w:szCs w:val="24"/>
              </w:rPr>
            </w:pPr>
            <w:r w:rsidRPr="00630402">
              <w:rPr>
                <w:rFonts w:eastAsia="Times New Roman" w:cs="Times New Roman"/>
                <w:szCs w:val="24"/>
              </w:rPr>
              <w:t>87.0</w:t>
            </w:r>
          </w:p>
        </w:tc>
      </w:tr>
      <w:tr w:rsidR="00630402" w:rsidRPr="00630402" w:rsidTr="00630402">
        <w:trPr>
          <w:trHeight w:val="315"/>
        </w:trPr>
        <w:tc>
          <w:tcPr>
            <w:tcW w:w="2720" w:type="dxa"/>
            <w:shd w:val="clear" w:color="auto" w:fill="auto"/>
            <w:noWrap/>
            <w:vAlign w:val="bottom"/>
            <w:hideMark/>
          </w:tcPr>
          <w:p w:rsidR="00630402" w:rsidRPr="00630402" w:rsidRDefault="00630402" w:rsidP="00630402">
            <w:pPr>
              <w:spacing w:after="0"/>
              <w:contextualSpacing w:val="0"/>
              <w:rPr>
                <w:rFonts w:eastAsia="Times New Roman" w:cs="Times New Roman"/>
                <w:szCs w:val="24"/>
              </w:rPr>
            </w:pPr>
            <w:r w:rsidRPr="00630402">
              <w:rPr>
                <w:rFonts w:eastAsia="Times New Roman" w:cs="Times New Roman"/>
                <w:szCs w:val="24"/>
              </w:rPr>
              <w:t>Average ICP/MS</w:t>
            </w:r>
          </w:p>
        </w:tc>
        <w:tc>
          <w:tcPr>
            <w:tcW w:w="460" w:type="dxa"/>
            <w:shd w:val="clear" w:color="auto" w:fill="auto"/>
            <w:noWrap/>
            <w:vAlign w:val="bottom"/>
            <w:hideMark/>
          </w:tcPr>
          <w:p w:rsidR="00630402" w:rsidRPr="00630402" w:rsidRDefault="00630402" w:rsidP="00630402">
            <w:pPr>
              <w:spacing w:after="0"/>
              <w:contextualSpacing w:val="0"/>
              <w:rPr>
                <w:rFonts w:eastAsia="Times New Roman" w:cs="Times New Roman"/>
                <w:szCs w:val="24"/>
              </w:rPr>
            </w:pPr>
          </w:p>
        </w:tc>
        <w:tc>
          <w:tcPr>
            <w:tcW w:w="1080" w:type="dxa"/>
            <w:shd w:val="clear" w:color="auto" w:fill="auto"/>
            <w:noWrap/>
            <w:vAlign w:val="bottom"/>
            <w:hideMark/>
          </w:tcPr>
          <w:p w:rsidR="00630402" w:rsidRPr="00630402" w:rsidRDefault="00630402" w:rsidP="00630402">
            <w:pPr>
              <w:spacing w:after="0"/>
              <w:contextualSpacing w:val="0"/>
              <w:jc w:val="right"/>
              <w:rPr>
                <w:rFonts w:eastAsia="Times New Roman" w:cs="Times New Roman"/>
                <w:szCs w:val="24"/>
              </w:rPr>
            </w:pPr>
            <w:r w:rsidRPr="00630402">
              <w:rPr>
                <w:rFonts w:eastAsia="Times New Roman" w:cs="Times New Roman"/>
                <w:szCs w:val="24"/>
              </w:rPr>
              <w:t>1.3</w:t>
            </w:r>
          </w:p>
        </w:tc>
        <w:tc>
          <w:tcPr>
            <w:tcW w:w="1080" w:type="dxa"/>
            <w:shd w:val="clear" w:color="auto" w:fill="auto"/>
            <w:noWrap/>
            <w:vAlign w:val="bottom"/>
            <w:hideMark/>
          </w:tcPr>
          <w:p w:rsidR="00630402" w:rsidRPr="00630402" w:rsidRDefault="00CB3929" w:rsidP="00CB3929">
            <w:pPr>
              <w:spacing w:after="0"/>
              <w:contextualSpacing w:val="0"/>
              <w:jc w:val="center"/>
              <w:rPr>
                <w:rFonts w:eastAsia="Times New Roman" w:cs="Times New Roman"/>
                <w:szCs w:val="24"/>
              </w:rPr>
            </w:pPr>
            <w:r w:rsidRPr="00630402">
              <w:rPr>
                <w:rFonts w:eastAsia="Times New Roman" w:cs="Times New Roman"/>
                <w:szCs w:val="24"/>
              </w:rPr>
              <w:t>µg/L</w:t>
            </w:r>
          </w:p>
        </w:tc>
        <w:tc>
          <w:tcPr>
            <w:tcW w:w="1080" w:type="dxa"/>
            <w:shd w:val="clear" w:color="auto" w:fill="auto"/>
            <w:noWrap/>
            <w:vAlign w:val="bottom"/>
            <w:hideMark/>
          </w:tcPr>
          <w:p w:rsidR="00630402" w:rsidRPr="00630402" w:rsidRDefault="00630402" w:rsidP="00630402">
            <w:pPr>
              <w:spacing w:after="0"/>
              <w:contextualSpacing w:val="0"/>
              <w:rPr>
                <w:rFonts w:eastAsia="Times New Roman" w:cs="Times New Roman"/>
                <w:szCs w:val="24"/>
              </w:rPr>
            </w:pPr>
          </w:p>
        </w:tc>
        <w:tc>
          <w:tcPr>
            <w:tcW w:w="1080" w:type="dxa"/>
            <w:shd w:val="clear" w:color="auto" w:fill="auto"/>
            <w:noWrap/>
            <w:vAlign w:val="bottom"/>
            <w:hideMark/>
          </w:tcPr>
          <w:p w:rsidR="00630402" w:rsidRPr="00630402" w:rsidRDefault="00630402" w:rsidP="00630402">
            <w:pPr>
              <w:spacing w:after="0"/>
              <w:contextualSpacing w:val="0"/>
              <w:jc w:val="right"/>
              <w:rPr>
                <w:rFonts w:eastAsia="Times New Roman" w:cs="Times New Roman"/>
                <w:szCs w:val="24"/>
              </w:rPr>
            </w:pPr>
            <w:r w:rsidRPr="00630402">
              <w:rPr>
                <w:rFonts w:eastAsia="Times New Roman" w:cs="Times New Roman"/>
                <w:szCs w:val="24"/>
              </w:rPr>
              <w:t>25.3</w:t>
            </w:r>
          </w:p>
        </w:tc>
      </w:tr>
      <w:tr w:rsidR="00630402" w:rsidRPr="00630402" w:rsidTr="00630402">
        <w:trPr>
          <w:trHeight w:val="315"/>
        </w:trPr>
        <w:tc>
          <w:tcPr>
            <w:tcW w:w="2720" w:type="dxa"/>
            <w:shd w:val="clear" w:color="auto" w:fill="auto"/>
            <w:noWrap/>
            <w:vAlign w:val="bottom"/>
            <w:hideMark/>
          </w:tcPr>
          <w:p w:rsidR="00630402" w:rsidRPr="00630402" w:rsidRDefault="00630402" w:rsidP="00630402">
            <w:pPr>
              <w:spacing w:after="0"/>
              <w:contextualSpacing w:val="0"/>
              <w:rPr>
                <w:rFonts w:eastAsia="Times New Roman" w:cs="Times New Roman"/>
                <w:szCs w:val="24"/>
              </w:rPr>
            </w:pPr>
            <w:r w:rsidRPr="00630402">
              <w:rPr>
                <w:rFonts w:eastAsia="Times New Roman" w:cs="Times New Roman"/>
                <w:szCs w:val="24"/>
              </w:rPr>
              <w:t>Average Hydride</w:t>
            </w:r>
          </w:p>
        </w:tc>
        <w:tc>
          <w:tcPr>
            <w:tcW w:w="460" w:type="dxa"/>
            <w:shd w:val="clear" w:color="auto" w:fill="auto"/>
            <w:noWrap/>
            <w:vAlign w:val="bottom"/>
            <w:hideMark/>
          </w:tcPr>
          <w:p w:rsidR="00630402" w:rsidRPr="00630402" w:rsidRDefault="00630402" w:rsidP="00630402">
            <w:pPr>
              <w:spacing w:after="0"/>
              <w:contextualSpacing w:val="0"/>
              <w:rPr>
                <w:rFonts w:eastAsia="Times New Roman" w:cs="Times New Roman"/>
                <w:szCs w:val="24"/>
              </w:rPr>
            </w:pPr>
          </w:p>
        </w:tc>
        <w:tc>
          <w:tcPr>
            <w:tcW w:w="1080" w:type="dxa"/>
            <w:shd w:val="clear" w:color="auto" w:fill="auto"/>
            <w:noWrap/>
            <w:vAlign w:val="bottom"/>
            <w:hideMark/>
          </w:tcPr>
          <w:p w:rsidR="00630402" w:rsidRPr="00630402" w:rsidRDefault="00630402" w:rsidP="00630402">
            <w:pPr>
              <w:spacing w:after="0"/>
              <w:contextualSpacing w:val="0"/>
              <w:jc w:val="right"/>
              <w:rPr>
                <w:rFonts w:eastAsia="Times New Roman" w:cs="Times New Roman"/>
                <w:szCs w:val="24"/>
              </w:rPr>
            </w:pPr>
            <w:r w:rsidRPr="00630402">
              <w:rPr>
                <w:rFonts w:eastAsia="Times New Roman" w:cs="Times New Roman"/>
                <w:szCs w:val="24"/>
              </w:rPr>
              <w:t>5.25</w:t>
            </w:r>
          </w:p>
        </w:tc>
        <w:tc>
          <w:tcPr>
            <w:tcW w:w="1080" w:type="dxa"/>
            <w:shd w:val="clear" w:color="auto" w:fill="auto"/>
            <w:noWrap/>
            <w:vAlign w:val="bottom"/>
            <w:hideMark/>
          </w:tcPr>
          <w:p w:rsidR="00630402" w:rsidRPr="00630402" w:rsidRDefault="00CB3929" w:rsidP="00CB3929">
            <w:pPr>
              <w:spacing w:after="0"/>
              <w:contextualSpacing w:val="0"/>
              <w:jc w:val="center"/>
              <w:rPr>
                <w:rFonts w:eastAsia="Times New Roman" w:cs="Times New Roman"/>
                <w:szCs w:val="24"/>
              </w:rPr>
            </w:pPr>
            <w:r w:rsidRPr="00630402">
              <w:rPr>
                <w:rFonts w:eastAsia="Times New Roman" w:cs="Times New Roman"/>
                <w:szCs w:val="24"/>
              </w:rPr>
              <w:t>µg/L</w:t>
            </w:r>
          </w:p>
        </w:tc>
        <w:tc>
          <w:tcPr>
            <w:tcW w:w="1080" w:type="dxa"/>
            <w:shd w:val="clear" w:color="auto" w:fill="auto"/>
            <w:noWrap/>
            <w:vAlign w:val="bottom"/>
            <w:hideMark/>
          </w:tcPr>
          <w:p w:rsidR="00630402" w:rsidRPr="00630402" w:rsidRDefault="00630402" w:rsidP="00630402">
            <w:pPr>
              <w:spacing w:after="0"/>
              <w:contextualSpacing w:val="0"/>
              <w:rPr>
                <w:rFonts w:eastAsia="Times New Roman" w:cs="Times New Roman"/>
                <w:szCs w:val="24"/>
              </w:rPr>
            </w:pPr>
          </w:p>
        </w:tc>
        <w:tc>
          <w:tcPr>
            <w:tcW w:w="1080" w:type="dxa"/>
            <w:shd w:val="clear" w:color="auto" w:fill="auto"/>
            <w:noWrap/>
            <w:vAlign w:val="bottom"/>
            <w:hideMark/>
          </w:tcPr>
          <w:p w:rsidR="00630402" w:rsidRPr="00630402" w:rsidRDefault="00630402" w:rsidP="00630402">
            <w:pPr>
              <w:spacing w:after="0"/>
              <w:contextualSpacing w:val="0"/>
              <w:jc w:val="right"/>
              <w:rPr>
                <w:rFonts w:eastAsia="Times New Roman" w:cs="Times New Roman"/>
                <w:szCs w:val="24"/>
              </w:rPr>
            </w:pPr>
            <w:r w:rsidRPr="00630402">
              <w:rPr>
                <w:rFonts w:eastAsia="Times New Roman" w:cs="Times New Roman"/>
                <w:szCs w:val="24"/>
              </w:rPr>
              <w:t>105.0</w:t>
            </w:r>
          </w:p>
        </w:tc>
      </w:tr>
    </w:tbl>
    <w:p w:rsidR="00EA00B8" w:rsidRDefault="00EA00B8" w:rsidP="00AF7A5F">
      <w:pPr>
        <w:pStyle w:val="NoSpacing"/>
      </w:pPr>
    </w:p>
    <w:p w:rsidR="00630402" w:rsidRDefault="00630402" w:rsidP="00AF7A5F">
      <w:pPr>
        <w:pStyle w:val="NoSpacing"/>
      </w:pPr>
    </w:p>
    <w:p w:rsidR="00630402" w:rsidRDefault="00630402" w:rsidP="00AF7A5F">
      <w:pPr>
        <w:pStyle w:val="NoSpacing"/>
      </w:pPr>
    </w:p>
    <w:p w:rsidR="00630402" w:rsidRDefault="00630402" w:rsidP="00AF7A5F">
      <w:pPr>
        <w:pStyle w:val="NoSpacing"/>
      </w:pPr>
    </w:p>
    <w:p w:rsidR="00630402" w:rsidRDefault="00630402" w:rsidP="00630402">
      <w:r>
        <w:lastRenderedPageBreak/>
        <w:t>The following chart gives a visual depiction of the raw results from Phase IV 5 µg/L sample.</w:t>
      </w:r>
    </w:p>
    <w:p w:rsidR="00630402" w:rsidRPr="00CB3929" w:rsidRDefault="00630402" w:rsidP="00AF7A5F">
      <w:pPr>
        <w:pStyle w:val="NoSpacing"/>
        <w:rPr>
          <w:b/>
          <w:sz w:val="32"/>
          <w:szCs w:val="32"/>
        </w:rPr>
      </w:pPr>
      <w:r w:rsidRPr="00CB3929">
        <w:rPr>
          <w:b/>
          <w:sz w:val="32"/>
          <w:szCs w:val="32"/>
        </w:rPr>
        <w:t xml:space="preserve">Chart </w:t>
      </w:r>
      <w:r w:rsidR="00CB3929" w:rsidRPr="00CB3929">
        <w:rPr>
          <w:b/>
          <w:sz w:val="32"/>
          <w:szCs w:val="32"/>
        </w:rPr>
        <w:t>9</w:t>
      </w:r>
      <w:r w:rsidRPr="00CB3929">
        <w:rPr>
          <w:b/>
          <w:sz w:val="32"/>
          <w:szCs w:val="32"/>
        </w:rPr>
        <w:t>.</w:t>
      </w:r>
    </w:p>
    <w:p w:rsidR="00630402" w:rsidRDefault="00630402" w:rsidP="00AF7A5F">
      <w:pPr>
        <w:pStyle w:val="NoSpacing"/>
        <w:rPr>
          <w:b/>
        </w:rPr>
      </w:pPr>
    </w:p>
    <w:p w:rsidR="00630402" w:rsidRDefault="00630402" w:rsidP="00AF7A5F">
      <w:pPr>
        <w:pStyle w:val="NoSpacing"/>
        <w:rPr>
          <w:b/>
        </w:rPr>
      </w:pPr>
      <w:r w:rsidRPr="00630402">
        <w:rPr>
          <w:b/>
          <w:noProof/>
        </w:rPr>
        <w:drawing>
          <wp:inline distT="0" distB="0" distL="0" distR="0">
            <wp:extent cx="5943600" cy="520065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30402" w:rsidRDefault="00630402" w:rsidP="00AF7A5F">
      <w:pPr>
        <w:pStyle w:val="NoSpacing"/>
        <w:rPr>
          <w:b/>
        </w:rPr>
      </w:pPr>
    </w:p>
    <w:tbl>
      <w:tblPr>
        <w:tblW w:w="9627" w:type="dxa"/>
        <w:tblInd w:w="108" w:type="dxa"/>
        <w:tblLook w:val="04A0"/>
      </w:tblPr>
      <w:tblGrid>
        <w:gridCol w:w="2645"/>
        <w:gridCol w:w="850"/>
        <w:gridCol w:w="1883"/>
        <w:gridCol w:w="850"/>
        <w:gridCol w:w="2549"/>
        <w:gridCol w:w="850"/>
      </w:tblGrid>
      <w:tr w:rsidR="00CB3929" w:rsidRPr="00C71448" w:rsidTr="004A23A7">
        <w:trPr>
          <w:trHeight w:val="325"/>
        </w:trPr>
        <w:tc>
          <w:tcPr>
            <w:tcW w:w="2490" w:type="dxa"/>
            <w:tcBorders>
              <w:top w:val="nil"/>
              <w:left w:val="nil"/>
              <w:bottom w:val="nil"/>
              <w:right w:val="nil"/>
            </w:tcBorders>
            <w:shd w:val="clear" w:color="auto" w:fill="auto"/>
            <w:noWrap/>
            <w:vAlign w:val="bottom"/>
            <w:hideMark/>
          </w:tcPr>
          <w:p w:rsidR="00CB3929" w:rsidRPr="00C71448" w:rsidRDefault="00CB3929" w:rsidP="004A23A7">
            <w:pPr>
              <w:spacing w:after="0"/>
              <w:contextualSpacing w:val="0"/>
              <w:rPr>
                <w:rFonts w:eastAsia="Times New Roman" w:cs="Times New Roman"/>
                <w:color w:val="000000"/>
                <w:szCs w:val="24"/>
              </w:rPr>
            </w:pPr>
            <w:r w:rsidRPr="00C71448">
              <w:rPr>
                <w:rFonts w:eastAsia="Times New Roman" w:cs="Times New Roman"/>
                <w:color w:val="000000"/>
                <w:szCs w:val="24"/>
              </w:rPr>
              <w:t>Graphite Furnace AA</w:t>
            </w:r>
          </w:p>
        </w:tc>
        <w:tc>
          <w:tcPr>
            <w:tcW w:w="800" w:type="dxa"/>
            <w:tcBorders>
              <w:top w:val="nil"/>
              <w:left w:val="nil"/>
              <w:bottom w:val="nil"/>
              <w:right w:val="nil"/>
            </w:tcBorders>
            <w:shd w:val="clear" w:color="000000" w:fill="FFFF00"/>
            <w:noWrap/>
            <w:vAlign w:val="bottom"/>
            <w:hideMark/>
          </w:tcPr>
          <w:p w:rsidR="00CB3929" w:rsidRPr="00C71448" w:rsidRDefault="00CB3929" w:rsidP="004A23A7">
            <w:pPr>
              <w:spacing w:after="0"/>
              <w:contextualSpacing w:val="0"/>
              <w:rPr>
                <w:rFonts w:ascii="Calibri" w:eastAsia="Times New Roman" w:hAnsi="Calibri" w:cs="Times New Roman"/>
                <w:color w:val="000000"/>
                <w:sz w:val="22"/>
              </w:rPr>
            </w:pPr>
            <w:r w:rsidRPr="00C71448">
              <w:rPr>
                <w:rFonts w:ascii="Calibri" w:eastAsia="Times New Roman" w:hAnsi="Calibri" w:cs="Times New Roman"/>
                <w:color w:val="000000"/>
                <w:sz w:val="22"/>
              </w:rPr>
              <w:t> </w:t>
            </w:r>
          </w:p>
        </w:tc>
        <w:tc>
          <w:tcPr>
            <w:tcW w:w="1773" w:type="dxa"/>
            <w:tcBorders>
              <w:top w:val="nil"/>
              <w:left w:val="nil"/>
              <w:bottom w:val="nil"/>
              <w:right w:val="nil"/>
            </w:tcBorders>
            <w:shd w:val="clear" w:color="auto" w:fill="auto"/>
            <w:noWrap/>
            <w:vAlign w:val="bottom"/>
            <w:hideMark/>
          </w:tcPr>
          <w:p w:rsidR="00CB3929" w:rsidRPr="00C71448" w:rsidRDefault="00CB3929" w:rsidP="004A23A7">
            <w:pPr>
              <w:spacing w:after="0"/>
              <w:contextualSpacing w:val="0"/>
              <w:rPr>
                <w:rFonts w:eastAsia="Times New Roman" w:cs="Times New Roman"/>
                <w:color w:val="000000"/>
                <w:szCs w:val="24"/>
              </w:rPr>
            </w:pPr>
            <w:r w:rsidRPr="00C71448">
              <w:rPr>
                <w:rFonts w:eastAsia="Times New Roman" w:cs="Times New Roman"/>
                <w:color w:val="000000"/>
                <w:szCs w:val="24"/>
              </w:rPr>
              <w:t>ICP- Mass Spec</w:t>
            </w:r>
          </w:p>
        </w:tc>
        <w:tc>
          <w:tcPr>
            <w:tcW w:w="800" w:type="dxa"/>
            <w:tcBorders>
              <w:top w:val="nil"/>
              <w:left w:val="nil"/>
              <w:bottom w:val="nil"/>
              <w:right w:val="nil"/>
            </w:tcBorders>
            <w:shd w:val="clear" w:color="000000" w:fill="00B050"/>
            <w:noWrap/>
            <w:vAlign w:val="bottom"/>
            <w:hideMark/>
          </w:tcPr>
          <w:p w:rsidR="00CB3929" w:rsidRPr="00C71448" w:rsidRDefault="00CB3929" w:rsidP="004A23A7">
            <w:pPr>
              <w:spacing w:after="0"/>
              <w:contextualSpacing w:val="0"/>
              <w:rPr>
                <w:rFonts w:ascii="Calibri" w:eastAsia="Times New Roman" w:hAnsi="Calibri" w:cs="Times New Roman"/>
                <w:color w:val="000000"/>
                <w:sz w:val="22"/>
              </w:rPr>
            </w:pPr>
            <w:r w:rsidRPr="00C71448">
              <w:rPr>
                <w:rFonts w:ascii="Calibri" w:eastAsia="Times New Roman" w:hAnsi="Calibri" w:cs="Times New Roman"/>
                <w:color w:val="000000"/>
                <w:sz w:val="22"/>
              </w:rPr>
              <w:t> </w:t>
            </w:r>
          </w:p>
        </w:tc>
        <w:tc>
          <w:tcPr>
            <w:tcW w:w="2400" w:type="dxa"/>
            <w:tcBorders>
              <w:top w:val="nil"/>
              <w:left w:val="nil"/>
              <w:bottom w:val="nil"/>
              <w:right w:val="nil"/>
            </w:tcBorders>
            <w:shd w:val="clear" w:color="auto" w:fill="auto"/>
            <w:noWrap/>
            <w:vAlign w:val="bottom"/>
            <w:hideMark/>
          </w:tcPr>
          <w:p w:rsidR="00CB3929" w:rsidRPr="00C71448" w:rsidRDefault="00CB3929" w:rsidP="004A23A7">
            <w:pPr>
              <w:spacing w:after="0"/>
              <w:contextualSpacing w:val="0"/>
              <w:rPr>
                <w:rFonts w:eastAsia="Times New Roman" w:cs="Times New Roman"/>
                <w:color w:val="000000"/>
                <w:szCs w:val="24"/>
              </w:rPr>
            </w:pPr>
            <w:r w:rsidRPr="00C71448">
              <w:rPr>
                <w:rFonts w:eastAsia="Times New Roman" w:cs="Times New Roman"/>
                <w:color w:val="000000"/>
                <w:szCs w:val="24"/>
              </w:rPr>
              <w:t>Gaseous Hydride-AA</w:t>
            </w:r>
            <w:r w:rsidR="00FA0E71">
              <w:rPr>
                <w:rFonts w:eastAsia="Times New Roman" w:cs="Times New Roman"/>
                <w:color w:val="000000"/>
                <w:szCs w:val="24"/>
              </w:rPr>
              <w:t xml:space="preserve"> or AF</w:t>
            </w:r>
          </w:p>
        </w:tc>
        <w:tc>
          <w:tcPr>
            <w:tcW w:w="800" w:type="dxa"/>
            <w:tcBorders>
              <w:top w:val="nil"/>
              <w:left w:val="nil"/>
              <w:bottom w:val="nil"/>
              <w:right w:val="nil"/>
            </w:tcBorders>
            <w:shd w:val="clear" w:color="000000" w:fill="7030A0"/>
            <w:noWrap/>
            <w:vAlign w:val="bottom"/>
            <w:hideMark/>
          </w:tcPr>
          <w:p w:rsidR="00CB3929" w:rsidRPr="00C71448" w:rsidRDefault="00CB3929" w:rsidP="004A23A7">
            <w:pPr>
              <w:spacing w:after="0"/>
              <w:contextualSpacing w:val="0"/>
              <w:rPr>
                <w:rFonts w:ascii="Calibri" w:eastAsia="Times New Roman" w:hAnsi="Calibri" w:cs="Times New Roman"/>
                <w:color w:val="000000"/>
                <w:sz w:val="22"/>
              </w:rPr>
            </w:pPr>
            <w:r w:rsidRPr="00C71448">
              <w:rPr>
                <w:rFonts w:ascii="Calibri" w:eastAsia="Times New Roman" w:hAnsi="Calibri" w:cs="Times New Roman"/>
                <w:color w:val="000000"/>
                <w:sz w:val="22"/>
              </w:rPr>
              <w:t> </w:t>
            </w:r>
          </w:p>
        </w:tc>
      </w:tr>
    </w:tbl>
    <w:p w:rsidR="00630402" w:rsidRDefault="00630402" w:rsidP="00AF7A5F">
      <w:pPr>
        <w:pStyle w:val="NoSpacing"/>
        <w:rPr>
          <w:b/>
        </w:rPr>
      </w:pPr>
    </w:p>
    <w:p w:rsidR="00630402" w:rsidRDefault="00630402" w:rsidP="00AF7A5F">
      <w:pPr>
        <w:pStyle w:val="NoSpacing"/>
        <w:rPr>
          <w:b/>
        </w:rPr>
      </w:pPr>
    </w:p>
    <w:p w:rsidR="00630402" w:rsidRDefault="00630402" w:rsidP="00AF7A5F">
      <w:pPr>
        <w:pStyle w:val="NoSpacing"/>
        <w:rPr>
          <w:b/>
        </w:rPr>
      </w:pPr>
    </w:p>
    <w:p w:rsidR="00630402" w:rsidRDefault="00630402" w:rsidP="00AF7A5F">
      <w:pPr>
        <w:pStyle w:val="NoSpacing"/>
        <w:rPr>
          <w:b/>
        </w:rPr>
      </w:pPr>
    </w:p>
    <w:p w:rsidR="00630402" w:rsidRDefault="00630402" w:rsidP="00AF7A5F">
      <w:pPr>
        <w:pStyle w:val="NoSpacing"/>
        <w:rPr>
          <w:b/>
        </w:rPr>
      </w:pPr>
    </w:p>
    <w:p w:rsidR="00630402" w:rsidRDefault="00630402" w:rsidP="00AF7A5F">
      <w:pPr>
        <w:pStyle w:val="NoSpacing"/>
        <w:rPr>
          <w:b/>
        </w:rPr>
      </w:pPr>
    </w:p>
    <w:p w:rsidR="00630402" w:rsidRDefault="00630402" w:rsidP="00AF7A5F">
      <w:pPr>
        <w:pStyle w:val="NoSpacing"/>
        <w:rPr>
          <w:b/>
        </w:rPr>
      </w:pPr>
    </w:p>
    <w:p w:rsidR="00630402" w:rsidRDefault="00630402" w:rsidP="00AF7A5F">
      <w:pPr>
        <w:pStyle w:val="NoSpacing"/>
        <w:rPr>
          <w:b/>
        </w:rPr>
      </w:pPr>
    </w:p>
    <w:p w:rsidR="00630402" w:rsidRDefault="00630402" w:rsidP="00AF7A5F">
      <w:pPr>
        <w:pStyle w:val="NoSpacing"/>
        <w:rPr>
          <w:b/>
        </w:rPr>
      </w:pPr>
    </w:p>
    <w:p w:rsidR="00630402" w:rsidRDefault="00630402" w:rsidP="00AF7A5F">
      <w:pPr>
        <w:pStyle w:val="NoSpacing"/>
        <w:rPr>
          <w:b/>
        </w:rPr>
      </w:pPr>
    </w:p>
    <w:p w:rsidR="00630402" w:rsidRDefault="00630402" w:rsidP="00630402">
      <w:r>
        <w:lastRenderedPageBreak/>
        <w:t>The following chart gives a visual depiction of the percent recovery data for raw results from Phase IV 5 µg/L sample.</w:t>
      </w:r>
    </w:p>
    <w:p w:rsidR="00630402" w:rsidRPr="00CB3929" w:rsidRDefault="00630402" w:rsidP="00AF7A5F">
      <w:pPr>
        <w:pStyle w:val="NoSpacing"/>
        <w:rPr>
          <w:b/>
          <w:sz w:val="32"/>
          <w:szCs w:val="32"/>
        </w:rPr>
      </w:pPr>
      <w:r w:rsidRPr="00CB3929">
        <w:rPr>
          <w:b/>
          <w:sz w:val="32"/>
          <w:szCs w:val="32"/>
        </w:rPr>
        <w:t xml:space="preserve">Chart </w:t>
      </w:r>
      <w:r w:rsidR="00CB3929" w:rsidRPr="00CB3929">
        <w:rPr>
          <w:b/>
          <w:sz w:val="32"/>
          <w:szCs w:val="32"/>
        </w:rPr>
        <w:t>10</w:t>
      </w:r>
      <w:r w:rsidRPr="00CB3929">
        <w:rPr>
          <w:b/>
          <w:sz w:val="32"/>
          <w:szCs w:val="32"/>
        </w:rPr>
        <w:t>.</w:t>
      </w:r>
    </w:p>
    <w:p w:rsidR="00630402" w:rsidRDefault="00630402" w:rsidP="00AF7A5F">
      <w:pPr>
        <w:pStyle w:val="NoSpacing"/>
        <w:rPr>
          <w:b/>
        </w:rPr>
      </w:pPr>
    </w:p>
    <w:p w:rsidR="00630402" w:rsidRDefault="00630402" w:rsidP="00AF7A5F">
      <w:pPr>
        <w:pStyle w:val="NoSpacing"/>
        <w:rPr>
          <w:b/>
        </w:rPr>
      </w:pPr>
      <w:r w:rsidRPr="00630402">
        <w:rPr>
          <w:b/>
          <w:noProof/>
        </w:rPr>
        <w:drawing>
          <wp:inline distT="0" distB="0" distL="0" distR="0">
            <wp:extent cx="5943600" cy="520065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W w:w="9627" w:type="dxa"/>
        <w:tblInd w:w="108" w:type="dxa"/>
        <w:tblLook w:val="04A0"/>
      </w:tblPr>
      <w:tblGrid>
        <w:gridCol w:w="2645"/>
        <w:gridCol w:w="850"/>
        <w:gridCol w:w="1883"/>
        <w:gridCol w:w="850"/>
        <w:gridCol w:w="2549"/>
        <w:gridCol w:w="850"/>
      </w:tblGrid>
      <w:tr w:rsidR="001923D8" w:rsidRPr="00C71448" w:rsidTr="001923D8">
        <w:trPr>
          <w:trHeight w:val="325"/>
        </w:trPr>
        <w:tc>
          <w:tcPr>
            <w:tcW w:w="2645" w:type="dxa"/>
            <w:tcBorders>
              <w:top w:val="nil"/>
              <w:left w:val="nil"/>
              <w:bottom w:val="nil"/>
              <w:right w:val="nil"/>
            </w:tcBorders>
            <w:shd w:val="clear" w:color="auto" w:fill="auto"/>
            <w:noWrap/>
            <w:vAlign w:val="bottom"/>
            <w:hideMark/>
          </w:tcPr>
          <w:p w:rsidR="001923D8" w:rsidRPr="00C71448" w:rsidRDefault="001923D8" w:rsidP="004A23A7">
            <w:pPr>
              <w:spacing w:after="0"/>
              <w:contextualSpacing w:val="0"/>
              <w:rPr>
                <w:rFonts w:eastAsia="Times New Roman" w:cs="Times New Roman"/>
                <w:color w:val="000000"/>
                <w:szCs w:val="24"/>
              </w:rPr>
            </w:pPr>
            <w:r w:rsidRPr="00C71448">
              <w:rPr>
                <w:rFonts w:eastAsia="Times New Roman" w:cs="Times New Roman"/>
                <w:color w:val="000000"/>
                <w:szCs w:val="24"/>
              </w:rPr>
              <w:t>Graphite Furnace AA</w:t>
            </w:r>
          </w:p>
        </w:tc>
        <w:tc>
          <w:tcPr>
            <w:tcW w:w="850" w:type="dxa"/>
            <w:tcBorders>
              <w:top w:val="nil"/>
              <w:left w:val="nil"/>
              <w:bottom w:val="nil"/>
              <w:right w:val="nil"/>
            </w:tcBorders>
            <w:shd w:val="clear" w:color="000000" w:fill="FFFF00"/>
            <w:noWrap/>
            <w:vAlign w:val="bottom"/>
            <w:hideMark/>
          </w:tcPr>
          <w:p w:rsidR="001923D8" w:rsidRPr="00C71448" w:rsidRDefault="001923D8" w:rsidP="004A23A7">
            <w:pPr>
              <w:spacing w:after="0"/>
              <w:contextualSpacing w:val="0"/>
              <w:rPr>
                <w:rFonts w:ascii="Calibri" w:eastAsia="Times New Roman" w:hAnsi="Calibri" w:cs="Times New Roman"/>
                <w:color w:val="000000"/>
                <w:sz w:val="22"/>
              </w:rPr>
            </w:pPr>
            <w:r w:rsidRPr="00C71448">
              <w:rPr>
                <w:rFonts w:ascii="Calibri" w:eastAsia="Times New Roman" w:hAnsi="Calibri" w:cs="Times New Roman"/>
                <w:color w:val="000000"/>
                <w:sz w:val="22"/>
              </w:rPr>
              <w:t> </w:t>
            </w:r>
          </w:p>
        </w:tc>
        <w:tc>
          <w:tcPr>
            <w:tcW w:w="1883" w:type="dxa"/>
            <w:tcBorders>
              <w:top w:val="nil"/>
              <w:left w:val="nil"/>
              <w:bottom w:val="nil"/>
              <w:right w:val="nil"/>
            </w:tcBorders>
            <w:shd w:val="clear" w:color="auto" w:fill="auto"/>
            <w:noWrap/>
            <w:vAlign w:val="bottom"/>
            <w:hideMark/>
          </w:tcPr>
          <w:p w:rsidR="001923D8" w:rsidRPr="00C71448" w:rsidRDefault="001923D8" w:rsidP="004A23A7">
            <w:pPr>
              <w:spacing w:after="0"/>
              <w:contextualSpacing w:val="0"/>
              <w:rPr>
                <w:rFonts w:eastAsia="Times New Roman" w:cs="Times New Roman"/>
                <w:color w:val="000000"/>
                <w:szCs w:val="24"/>
              </w:rPr>
            </w:pPr>
            <w:r w:rsidRPr="00C71448">
              <w:rPr>
                <w:rFonts w:eastAsia="Times New Roman" w:cs="Times New Roman"/>
                <w:color w:val="000000"/>
                <w:szCs w:val="24"/>
              </w:rPr>
              <w:t>ICP- Mass Spec</w:t>
            </w:r>
          </w:p>
        </w:tc>
        <w:tc>
          <w:tcPr>
            <w:tcW w:w="850" w:type="dxa"/>
            <w:tcBorders>
              <w:top w:val="nil"/>
              <w:left w:val="nil"/>
              <w:bottom w:val="nil"/>
              <w:right w:val="nil"/>
            </w:tcBorders>
            <w:shd w:val="clear" w:color="000000" w:fill="00B050"/>
            <w:noWrap/>
            <w:vAlign w:val="bottom"/>
            <w:hideMark/>
          </w:tcPr>
          <w:p w:rsidR="001923D8" w:rsidRPr="00C71448" w:rsidRDefault="001923D8" w:rsidP="004A23A7">
            <w:pPr>
              <w:spacing w:after="0"/>
              <w:contextualSpacing w:val="0"/>
              <w:rPr>
                <w:rFonts w:ascii="Calibri" w:eastAsia="Times New Roman" w:hAnsi="Calibri" w:cs="Times New Roman"/>
                <w:color w:val="000000"/>
                <w:sz w:val="22"/>
              </w:rPr>
            </w:pPr>
            <w:r w:rsidRPr="00C71448">
              <w:rPr>
                <w:rFonts w:ascii="Calibri" w:eastAsia="Times New Roman" w:hAnsi="Calibri" w:cs="Times New Roman"/>
                <w:color w:val="000000"/>
                <w:sz w:val="22"/>
              </w:rPr>
              <w:t> </w:t>
            </w:r>
          </w:p>
        </w:tc>
        <w:tc>
          <w:tcPr>
            <w:tcW w:w="2549" w:type="dxa"/>
            <w:tcBorders>
              <w:top w:val="nil"/>
              <w:left w:val="nil"/>
              <w:bottom w:val="nil"/>
              <w:right w:val="nil"/>
            </w:tcBorders>
            <w:shd w:val="clear" w:color="auto" w:fill="auto"/>
            <w:noWrap/>
            <w:vAlign w:val="bottom"/>
            <w:hideMark/>
          </w:tcPr>
          <w:p w:rsidR="001923D8" w:rsidRPr="00C71448" w:rsidRDefault="001923D8" w:rsidP="004A23A7">
            <w:pPr>
              <w:spacing w:after="0"/>
              <w:contextualSpacing w:val="0"/>
              <w:rPr>
                <w:rFonts w:eastAsia="Times New Roman" w:cs="Times New Roman"/>
                <w:color w:val="000000"/>
                <w:szCs w:val="24"/>
              </w:rPr>
            </w:pPr>
            <w:r w:rsidRPr="00C71448">
              <w:rPr>
                <w:rFonts w:eastAsia="Times New Roman" w:cs="Times New Roman"/>
                <w:color w:val="000000"/>
                <w:szCs w:val="24"/>
              </w:rPr>
              <w:t>Gaseous Hydride-AA</w:t>
            </w:r>
            <w:r>
              <w:rPr>
                <w:rFonts w:eastAsia="Times New Roman" w:cs="Times New Roman"/>
                <w:color w:val="000000"/>
                <w:szCs w:val="24"/>
              </w:rPr>
              <w:t xml:space="preserve"> or AF</w:t>
            </w:r>
          </w:p>
        </w:tc>
        <w:tc>
          <w:tcPr>
            <w:tcW w:w="850" w:type="dxa"/>
            <w:tcBorders>
              <w:top w:val="nil"/>
              <w:left w:val="nil"/>
              <w:bottom w:val="nil"/>
              <w:right w:val="nil"/>
            </w:tcBorders>
            <w:shd w:val="clear" w:color="000000" w:fill="7030A0"/>
            <w:noWrap/>
            <w:vAlign w:val="bottom"/>
            <w:hideMark/>
          </w:tcPr>
          <w:p w:rsidR="001923D8" w:rsidRPr="00C71448" w:rsidRDefault="001923D8" w:rsidP="004A23A7">
            <w:pPr>
              <w:spacing w:after="0"/>
              <w:contextualSpacing w:val="0"/>
              <w:rPr>
                <w:rFonts w:ascii="Calibri" w:eastAsia="Times New Roman" w:hAnsi="Calibri" w:cs="Times New Roman"/>
                <w:color w:val="000000"/>
                <w:sz w:val="22"/>
              </w:rPr>
            </w:pPr>
            <w:r w:rsidRPr="00C71448">
              <w:rPr>
                <w:rFonts w:ascii="Calibri" w:eastAsia="Times New Roman" w:hAnsi="Calibri" w:cs="Times New Roman"/>
                <w:color w:val="000000"/>
                <w:sz w:val="22"/>
              </w:rPr>
              <w:t> </w:t>
            </w:r>
          </w:p>
        </w:tc>
      </w:tr>
    </w:tbl>
    <w:p w:rsidR="00630402" w:rsidRDefault="00630402" w:rsidP="00AF7A5F">
      <w:pPr>
        <w:pStyle w:val="NoSpacing"/>
        <w:rPr>
          <w:b/>
        </w:rPr>
      </w:pPr>
    </w:p>
    <w:p w:rsidR="00630402" w:rsidRDefault="00630402" w:rsidP="00115B37">
      <w:pPr>
        <w:pStyle w:val="NoSpacing"/>
        <w:spacing w:line="276" w:lineRule="auto"/>
      </w:pPr>
      <w:r>
        <w:t xml:space="preserve">The Phase IV samples </w:t>
      </w:r>
      <w:r w:rsidR="00CB3929">
        <w:t>were</w:t>
      </w:r>
      <w:r>
        <w:t xml:space="preserve"> </w:t>
      </w:r>
      <w:r w:rsidR="00CB3929">
        <w:t>similar</w:t>
      </w:r>
      <w:r>
        <w:t xml:space="preserve"> to the Phase III samples except for the concentrations of Calcium and sulfate ions.  In this situation GFAA did give a bias low recovery, however, the average recovery was well with the method recovery limits of 70-130%.  ICP/MS, on the other hand shows difficultly in detecting the Selenium in this matrix.  </w:t>
      </w:r>
      <w:r w:rsidR="006A1127">
        <w:t xml:space="preserve">REI Consultants, Inc. was sent a single-blind whole volume sample to analyze by ICP/MS and gaseous hydride with atomic fluorescence detection.   </w:t>
      </w:r>
    </w:p>
    <w:p w:rsidR="006A1127" w:rsidRDefault="006A1127" w:rsidP="00AF7A5F">
      <w:pPr>
        <w:pStyle w:val="NoSpacing"/>
      </w:pPr>
    </w:p>
    <w:p w:rsidR="006A1127" w:rsidRDefault="006A1127" w:rsidP="00AF7A5F">
      <w:pPr>
        <w:pStyle w:val="NoSpacing"/>
      </w:pPr>
    </w:p>
    <w:p w:rsidR="006A1127" w:rsidRDefault="006A1127" w:rsidP="00AF7A5F">
      <w:pPr>
        <w:pStyle w:val="NoSpacing"/>
      </w:pPr>
    </w:p>
    <w:p w:rsidR="006A1127" w:rsidRDefault="006A1127" w:rsidP="006A1127">
      <w:r>
        <w:t>The following table depicts the data used for evaluation under Phase IV for the 20 µg/L sample.</w:t>
      </w:r>
    </w:p>
    <w:p w:rsidR="006A1127" w:rsidRPr="001923D8" w:rsidRDefault="001923D8" w:rsidP="006A1127">
      <w:pPr>
        <w:pStyle w:val="NoSpacing"/>
        <w:rPr>
          <w:b/>
          <w:sz w:val="32"/>
          <w:szCs w:val="32"/>
        </w:rPr>
      </w:pPr>
      <w:r w:rsidRPr="001923D8">
        <w:rPr>
          <w:b/>
          <w:sz w:val="32"/>
          <w:szCs w:val="32"/>
        </w:rPr>
        <w:t>Table 8.</w:t>
      </w:r>
    </w:p>
    <w:tbl>
      <w:tblPr>
        <w:tblW w:w="75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0"/>
        <w:gridCol w:w="472"/>
        <w:gridCol w:w="1080"/>
        <w:gridCol w:w="1080"/>
        <w:gridCol w:w="1212"/>
        <w:gridCol w:w="1080"/>
      </w:tblGrid>
      <w:tr w:rsidR="006A1127" w:rsidRPr="006A1127" w:rsidTr="006A1127">
        <w:trPr>
          <w:trHeight w:val="405"/>
        </w:trPr>
        <w:tc>
          <w:tcPr>
            <w:tcW w:w="2720" w:type="dxa"/>
            <w:shd w:val="clear" w:color="auto" w:fill="auto"/>
            <w:noWrap/>
            <w:vAlign w:val="bottom"/>
            <w:hideMark/>
          </w:tcPr>
          <w:p w:rsidR="006A1127" w:rsidRPr="006A1127" w:rsidRDefault="006A1127" w:rsidP="006A1127">
            <w:pPr>
              <w:spacing w:after="0"/>
              <w:contextualSpacing w:val="0"/>
              <w:rPr>
                <w:rFonts w:eastAsia="Times New Roman" w:cs="Times New Roman"/>
                <w:b/>
                <w:bCs/>
                <w:sz w:val="32"/>
                <w:szCs w:val="32"/>
              </w:rPr>
            </w:pPr>
            <w:r w:rsidRPr="006A1127">
              <w:rPr>
                <w:rFonts w:eastAsia="Times New Roman" w:cs="Times New Roman"/>
                <w:b/>
                <w:bCs/>
                <w:sz w:val="32"/>
                <w:szCs w:val="32"/>
              </w:rPr>
              <w:t>Lab</w:t>
            </w:r>
          </w:p>
        </w:tc>
        <w:tc>
          <w:tcPr>
            <w:tcW w:w="460" w:type="dxa"/>
            <w:shd w:val="clear" w:color="auto" w:fill="auto"/>
            <w:noWrap/>
            <w:vAlign w:val="bottom"/>
            <w:hideMark/>
          </w:tcPr>
          <w:p w:rsidR="006A1127" w:rsidRPr="006A1127" w:rsidRDefault="006A1127" w:rsidP="006A1127">
            <w:pPr>
              <w:spacing w:after="0"/>
              <w:contextualSpacing w:val="0"/>
              <w:rPr>
                <w:rFonts w:eastAsia="Times New Roman" w:cs="Times New Roman"/>
                <w:b/>
                <w:bCs/>
                <w:sz w:val="32"/>
                <w:szCs w:val="32"/>
              </w:rPr>
            </w:pPr>
          </w:p>
        </w:tc>
        <w:tc>
          <w:tcPr>
            <w:tcW w:w="1080" w:type="dxa"/>
            <w:shd w:val="clear" w:color="auto" w:fill="auto"/>
            <w:noWrap/>
            <w:vAlign w:val="bottom"/>
            <w:hideMark/>
          </w:tcPr>
          <w:p w:rsidR="006A1127" w:rsidRPr="006A1127" w:rsidRDefault="006A1127" w:rsidP="006A1127">
            <w:pPr>
              <w:spacing w:after="0"/>
              <w:contextualSpacing w:val="0"/>
              <w:rPr>
                <w:rFonts w:eastAsia="Times New Roman" w:cs="Times New Roman"/>
                <w:sz w:val="32"/>
                <w:szCs w:val="32"/>
              </w:rPr>
            </w:pPr>
            <w:r w:rsidRPr="006A1127">
              <w:rPr>
                <w:rFonts w:eastAsia="Times New Roman" w:cs="Times New Roman"/>
                <w:sz w:val="32"/>
                <w:szCs w:val="32"/>
              </w:rPr>
              <w:t>Result</w:t>
            </w:r>
          </w:p>
        </w:tc>
        <w:tc>
          <w:tcPr>
            <w:tcW w:w="1080" w:type="dxa"/>
            <w:shd w:val="clear" w:color="auto" w:fill="auto"/>
            <w:noWrap/>
            <w:vAlign w:val="bottom"/>
            <w:hideMark/>
          </w:tcPr>
          <w:p w:rsidR="006A1127" w:rsidRPr="006A1127" w:rsidRDefault="006A1127" w:rsidP="006A1127">
            <w:pPr>
              <w:spacing w:after="0"/>
              <w:contextualSpacing w:val="0"/>
              <w:rPr>
                <w:rFonts w:eastAsia="Times New Roman" w:cs="Times New Roman"/>
                <w:sz w:val="32"/>
                <w:szCs w:val="32"/>
              </w:rPr>
            </w:pPr>
            <w:r w:rsidRPr="006A1127">
              <w:rPr>
                <w:rFonts w:eastAsia="Times New Roman" w:cs="Times New Roman"/>
                <w:sz w:val="32"/>
                <w:szCs w:val="32"/>
              </w:rPr>
              <w:t>units</w:t>
            </w:r>
          </w:p>
        </w:tc>
        <w:tc>
          <w:tcPr>
            <w:tcW w:w="1080" w:type="dxa"/>
            <w:shd w:val="clear" w:color="auto" w:fill="auto"/>
            <w:noWrap/>
            <w:vAlign w:val="bottom"/>
            <w:hideMark/>
          </w:tcPr>
          <w:p w:rsidR="006A1127" w:rsidRPr="006A1127" w:rsidRDefault="006A1127" w:rsidP="006A1127">
            <w:pPr>
              <w:spacing w:after="0"/>
              <w:contextualSpacing w:val="0"/>
              <w:rPr>
                <w:rFonts w:eastAsia="Times New Roman" w:cs="Times New Roman"/>
                <w:sz w:val="32"/>
                <w:szCs w:val="32"/>
              </w:rPr>
            </w:pPr>
            <w:r w:rsidRPr="006A1127">
              <w:rPr>
                <w:rFonts w:eastAsia="Times New Roman" w:cs="Times New Roman"/>
                <w:sz w:val="32"/>
                <w:szCs w:val="32"/>
              </w:rPr>
              <w:t>Method</w:t>
            </w:r>
          </w:p>
        </w:tc>
        <w:tc>
          <w:tcPr>
            <w:tcW w:w="1080" w:type="dxa"/>
            <w:shd w:val="clear" w:color="auto" w:fill="auto"/>
            <w:noWrap/>
            <w:vAlign w:val="bottom"/>
            <w:hideMark/>
          </w:tcPr>
          <w:p w:rsidR="006A1127" w:rsidRPr="006A1127" w:rsidRDefault="006A1127" w:rsidP="006A1127">
            <w:pPr>
              <w:spacing w:after="0"/>
              <w:contextualSpacing w:val="0"/>
              <w:rPr>
                <w:rFonts w:eastAsia="Times New Roman" w:cs="Times New Roman"/>
                <w:sz w:val="32"/>
                <w:szCs w:val="32"/>
              </w:rPr>
            </w:pPr>
            <w:r w:rsidRPr="006A1127">
              <w:rPr>
                <w:rFonts w:eastAsia="Times New Roman" w:cs="Times New Roman"/>
                <w:sz w:val="32"/>
                <w:szCs w:val="32"/>
              </w:rPr>
              <w:t>% Rec.</w:t>
            </w:r>
          </w:p>
        </w:tc>
      </w:tr>
      <w:tr w:rsidR="006A1127" w:rsidRPr="006A1127" w:rsidTr="006A1127">
        <w:trPr>
          <w:trHeight w:val="315"/>
        </w:trPr>
        <w:tc>
          <w:tcPr>
            <w:tcW w:w="272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r w:rsidRPr="006A1127">
              <w:rPr>
                <w:rFonts w:eastAsia="Times New Roman" w:cs="Times New Roman"/>
                <w:szCs w:val="24"/>
              </w:rPr>
              <w:t>REI Consultants</w:t>
            </w:r>
          </w:p>
        </w:tc>
        <w:tc>
          <w:tcPr>
            <w:tcW w:w="46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p>
        </w:tc>
        <w:tc>
          <w:tcPr>
            <w:tcW w:w="1080" w:type="dxa"/>
            <w:shd w:val="clear" w:color="auto" w:fill="auto"/>
            <w:noWrap/>
            <w:vAlign w:val="bottom"/>
            <w:hideMark/>
          </w:tcPr>
          <w:p w:rsidR="006A1127" w:rsidRPr="006A1127" w:rsidRDefault="006A1127" w:rsidP="006A1127">
            <w:pPr>
              <w:spacing w:after="0"/>
              <w:contextualSpacing w:val="0"/>
              <w:jc w:val="right"/>
              <w:rPr>
                <w:rFonts w:eastAsia="Times New Roman" w:cs="Times New Roman"/>
                <w:szCs w:val="24"/>
              </w:rPr>
            </w:pPr>
            <w:r w:rsidRPr="006A1127">
              <w:rPr>
                <w:rFonts w:eastAsia="Times New Roman" w:cs="Times New Roman"/>
                <w:szCs w:val="24"/>
              </w:rPr>
              <w:t>15</w:t>
            </w:r>
          </w:p>
        </w:tc>
        <w:tc>
          <w:tcPr>
            <w:tcW w:w="108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r w:rsidRPr="006A1127">
              <w:rPr>
                <w:rFonts w:eastAsia="Times New Roman" w:cs="Times New Roman"/>
                <w:szCs w:val="24"/>
              </w:rPr>
              <w:t>µg/L</w:t>
            </w:r>
          </w:p>
        </w:tc>
        <w:tc>
          <w:tcPr>
            <w:tcW w:w="1080" w:type="dxa"/>
            <w:shd w:val="clear" w:color="auto" w:fill="auto"/>
            <w:noWrap/>
            <w:vAlign w:val="bottom"/>
            <w:hideMark/>
          </w:tcPr>
          <w:p w:rsidR="006A1127" w:rsidRPr="006A1127" w:rsidRDefault="006A1127" w:rsidP="006A1127">
            <w:pPr>
              <w:spacing w:after="0"/>
              <w:contextualSpacing w:val="0"/>
              <w:jc w:val="right"/>
              <w:rPr>
                <w:rFonts w:eastAsia="Times New Roman" w:cs="Times New Roman"/>
                <w:szCs w:val="24"/>
              </w:rPr>
            </w:pPr>
            <w:r w:rsidRPr="006A1127">
              <w:rPr>
                <w:rFonts w:eastAsia="Times New Roman" w:cs="Times New Roman"/>
                <w:szCs w:val="24"/>
              </w:rPr>
              <w:t>200.9</w:t>
            </w:r>
          </w:p>
        </w:tc>
        <w:tc>
          <w:tcPr>
            <w:tcW w:w="1080" w:type="dxa"/>
            <w:shd w:val="clear" w:color="auto" w:fill="auto"/>
            <w:noWrap/>
            <w:vAlign w:val="bottom"/>
            <w:hideMark/>
          </w:tcPr>
          <w:p w:rsidR="006A1127" w:rsidRPr="006A1127" w:rsidRDefault="006A1127" w:rsidP="006A1127">
            <w:pPr>
              <w:spacing w:after="0"/>
              <w:contextualSpacing w:val="0"/>
              <w:jc w:val="right"/>
              <w:rPr>
                <w:rFonts w:eastAsia="Times New Roman" w:cs="Times New Roman"/>
                <w:szCs w:val="24"/>
              </w:rPr>
            </w:pPr>
            <w:r w:rsidRPr="006A1127">
              <w:rPr>
                <w:rFonts w:eastAsia="Times New Roman" w:cs="Times New Roman"/>
                <w:szCs w:val="24"/>
              </w:rPr>
              <w:t>75.0</w:t>
            </w:r>
          </w:p>
        </w:tc>
      </w:tr>
      <w:tr w:rsidR="006A1127" w:rsidRPr="006A1127" w:rsidTr="006A1127">
        <w:trPr>
          <w:trHeight w:val="315"/>
        </w:trPr>
        <w:tc>
          <w:tcPr>
            <w:tcW w:w="272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r w:rsidRPr="006A1127">
              <w:rPr>
                <w:rFonts w:eastAsia="Times New Roman" w:cs="Times New Roman"/>
                <w:szCs w:val="24"/>
              </w:rPr>
              <w:t>BioChem</w:t>
            </w:r>
          </w:p>
        </w:tc>
        <w:tc>
          <w:tcPr>
            <w:tcW w:w="46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p>
        </w:tc>
        <w:tc>
          <w:tcPr>
            <w:tcW w:w="1080" w:type="dxa"/>
            <w:shd w:val="clear" w:color="auto" w:fill="auto"/>
            <w:noWrap/>
            <w:vAlign w:val="bottom"/>
            <w:hideMark/>
          </w:tcPr>
          <w:p w:rsidR="006A1127" w:rsidRPr="006A1127" w:rsidRDefault="006A1127" w:rsidP="006A1127">
            <w:pPr>
              <w:spacing w:after="0"/>
              <w:contextualSpacing w:val="0"/>
              <w:jc w:val="right"/>
              <w:rPr>
                <w:rFonts w:eastAsia="Times New Roman" w:cs="Times New Roman"/>
                <w:szCs w:val="24"/>
              </w:rPr>
            </w:pPr>
            <w:r w:rsidRPr="006A1127">
              <w:rPr>
                <w:rFonts w:eastAsia="Times New Roman" w:cs="Times New Roman"/>
                <w:szCs w:val="24"/>
              </w:rPr>
              <w:t>21.8</w:t>
            </w:r>
          </w:p>
        </w:tc>
        <w:tc>
          <w:tcPr>
            <w:tcW w:w="108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r w:rsidRPr="006A1127">
              <w:rPr>
                <w:rFonts w:eastAsia="Times New Roman" w:cs="Times New Roman"/>
                <w:szCs w:val="24"/>
              </w:rPr>
              <w:t>µg/L</w:t>
            </w:r>
          </w:p>
        </w:tc>
        <w:tc>
          <w:tcPr>
            <w:tcW w:w="1080" w:type="dxa"/>
            <w:shd w:val="clear" w:color="auto" w:fill="auto"/>
            <w:noWrap/>
            <w:vAlign w:val="bottom"/>
            <w:hideMark/>
          </w:tcPr>
          <w:p w:rsidR="006A1127" w:rsidRPr="006A1127" w:rsidRDefault="006A1127" w:rsidP="006A1127">
            <w:pPr>
              <w:spacing w:after="0"/>
              <w:contextualSpacing w:val="0"/>
              <w:jc w:val="right"/>
              <w:rPr>
                <w:rFonts w:eastAsia="Times New Roman" w:cs="Times New Roman"/>
                <w:szCs w:val="24"/>
              </w:rPr>
            </w:pPr>
            <w:r w:rsidRPr="006A1127">
              <w:rPr>
                <w:rFonts w:eastAsia="Times New Roman" w:cs="Times New Roman"/>
                <w:szCs w:val="24"/>
              </w:rPr>
              <w:t>200.9</w:t>
            </w:r>
          </w:p>
        </w:tc>
        <w:tc>
          <w:tcPr>
            <w:tcW w:w="1080" w:type="dxa"/>
            <w:shd w:val="clear" w:color="auto" w:fill="auto"/>
            <w:noWrap/>
            <w:vAlign w:val="bottom"/>
            <w:hideMark/>
          </w:tcPr>
          <w:p w:rsidR="006A1127" w:rsidRPr="006A1127" w:rsidRDefault="006A1127" w:rsidP="006A1127">
            <w:pPr>
              <w:spacing w:after="0"/>
              <w:contextualSpacing w:val="0"/>
              <w:jc w:val="right"/>
              <w:rPr>
                <w:rFonts w:eastAsia="Times New Roman" w:cs="Times New Roman"/>
                <w:szCs w:val="24"/>
              </w:rPr>
            </w:pPr>
            <w:r w:rsidRPr="006A1127">
              <w:rPr>
                <w:rFonts w:eastAsia="Times New Roman" w:cs="Times New Roman"/>
                <w:szCs w:val="24"/>
              </w:rPr>
              <w:t>109.0</w:t>
            </w:r>
          </w:p>
        </w:tc>
      </w:tr>
      <w:tr w:rsidR="006A1127" w:rsidRPr="006A1127" w:rsidTr="006A1127">
        <w:trPr>
          <w:trHeight w:val="315"/>
        </w:trPr>
        <w:tc>
          <w:tcPr>
            <w:tcW w:w="272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r w:rsidRPr="006A1127">
              <w:rPr>
                <w:rFonts w:eastAsia="Times New Roman" w:cs="Times New Roman"/>
                <w:szCs w:val="24"/>
              </w:rPr>
              <w:t>Sturm Environmental</w:t>
            </w:r>
          </w:p>
        </w:tc>
        <w:tc>
          <w:tcPr>
            <w:tcW w:w="46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p>
        </w:tc>
        <w:tc>
          <w:tcPr>
            <w:tcW w:w="1080" w:type="dxa"/>
            <w:shd w:val="clear" w:color="auto" w:fill="auto"/>
            <w:noWrap/>
            <w:vAlign w:val="bottom"/>
            <w:hideMark/>
          </w:tcPr>
          <w:p w:rsidR="006A1127" w:rsidRPr="006A1127" w:rsidRDefault="006A1127" w:rsidP="006A1127">
            <w:pPr>
              <w:spacing w:after="0"/>
              <w:contextualSpacing w:val="0"/>
              <w:jc w:val="right"/>
              <w:rPr>
                <w:rFonts w:eastAsia="Times New Roman" w:cs="Times New Roman"/>
                <w:szCs w:val="24"/>
              </w:rPr>
            </w:pPr>
            <w:r w:rsidRPr="006A1127">
              <w:rPr>
                <w:rFonts w:eastAsia="Times New Roman" w:cs="Times New Roman"/>
                <w:szCs w:val="24"/>
              </w:rPr>
              <w:t>17.7</w:t>
            </w:r>
          </w:p>
        </w:tc>
        <w:tc>
          <w:tcPr>
            <w:tcW w:w="108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r w:rsidRPr="006A1127">
              <w:rPr>
                <w:rFonts w:eastAsia="Times New Roman" w:cs="Times New Roman"/>
                <w:szCs w:val="24"/>
              </w:rPr>
              <w:t>µg/L</w:t>
            </w:r>
          </w:p>
        </w:tc>
        <w:tc>
          <w:tcPr>
            <w:tcW w:w="1080" w:type="dxa"/>
            <w:shd w:val="clear" w:color="auto" w:fill="auto"/>
            <w:noWrap/>
            <w:vAlign w:val="bottom"/>
            <w:hideMark/>
          </w:tcPr>
          <w:p w:rsidR="006A1127" w:rsidRPr="006A1127" w:rsidRDefault="006A1127" w:rsidP="006A1127">
            <w:pPr>
              <w:spacing w:after="0"/>
              <w:contextualSpacing w:val="0"/>
              <w:jc w:val="right"/>
              <w:rPr>
                <w:rFonts w:eastAsia="Times New Roman" w:cs="Times New Roman"/>
                <w:szCs w:val="24"/>
              </w:rPr>
            </w:pPr>
            <w:r w:rsidRPr="006A1127">
              <w:rPr>
                <w:rFonts w:eastAsia="Times New Roman" w:cs="Times New Roman"/>
                <w:szCs w:val="24"/>
              </w:rPr>
              <w:t>200.9</w:t>
            </w:r>
          </w:p>
        </w:tc>
        <w:tc>
          <w:tcPr>
            <w:tcW w:w="1080" w:type="dxa"/>
            <w:shd w:val="clear" w:color="auto" w:fill="auto"/>
            <w:noWrap/>
            <w:vAlign w:val="bottom"/>
            <w:hideMark/>
          </w:tcPr>
          <w:p w:rsidR="006A1127" w:rsidRPr="006A1127" w:rsidRDefault="006A1127" w:rsidP="006A1127">
            <w:pPr>
              <w:spacing w:after="0"/>
              <w:contextualSpacing w:val="0"/>
              <w:jc w:val="right"/>
              <w:rPr>
                <w:rFonts w:eastAsia="Times New Roman" w:cs="Times New Roman"/>
                <w:szCs w:val="24"/>
              </w:rPr>
            </w:pPr>
            <w:r w:rsidRPr="006A1127">
              <w:rPr>
                <w:rFonts w:eastAsia="Times New Roman" w:cs="Times New Roman"/>
                <w:szCs w:val="24"/>
              </w:rPr>
              <w:t>88.5</w:t>
            </w:r>
          </w:p>
        </w:tc>
      </w:tr>
      <w:tr w:rsidR="006A1127" w:rsidRPr="006A1127" w:rsidTr="006A1127">
        <w:trPr>
          <w:trHeight w:val="315"/>
        </w:trPr>
        <w:tc>
          <w:tcPr>
            <w:tcW w:w="272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r w:rsidRPr="006A1127">
              <w:rPr>
                <w:rFonts w:eastAsia="Times New Roman" w:cs="Times New Roman"/>
                <w:szCs w:val="24"/>
              </w:rPr>
              <w:t>Acculab</w:t>
            </w:r>
          </w:p>
        </w:tc>
        <w:tc>
          <w:tcPr>
            <w:tcW w:w="46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p>
        </w:tc>
        <w:tc>
          <w:tcPr>
            <w:tcW w:w="1080" w:type="dxa"/>
            <w:shd w:val="clear" w:color="auto" w:fill="auto"/>
            <w:noWrap/>
            <w:vAlign w:val="bottom"/>
            <w:hideMark/>
          </w:tcPr>
          <w:p w:rsidR="006A1127" w:rsidRPr="006A1127" w:rsidRDefault="006A1127" w:rsidP="006A1127">
            <w:pPr>
              <w:spacing w:after="0"/>
              <w:contextualSpacing w:val="0"/>
              <w:jc w:val="right"/>
              <w:rPr>
                <w:rFonts w:eastAsia="Times New Roman" w:cs="Times New Roman"/>
                <w:szCs w:val="24"/>
              </w:rPr>
            </w:pPr>
            <w:r w:rsidRPr="006A1127">
              <w:rPr>
                <w:rFonts w:eastAsia="Times New Roman" w:cs="Times New Roman"/>
                <w:szCs w:val="24"/>
              </w:rPr>
              <w:t>6.5</w:t>
            </w:r>
          </w:p>
        </w:tc>
        <w:tc>
          <w:tcPr>
            <w:tcW w:w="108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r w:rsidRPr="006A1127">
              <w:rPr>
                <w:rFonts w:eastAsia="Times New Roman" w:cs="Times New Roman"/>
                <w:szCs w:val="24"/>
              </w:rPr>
              <w:t>µg/L</w:t>
            </w:r>
          </w:p>
        </w:tc>
        <w:tc>
          <w:tcPr>
            <w:tcW w:w="1080" w:type="dxa"/>
            <w:shd w:val="clear" w:color="auto" w:fill="auto"/>
            <w:noWrap/>
            <w:vAlign w:val="bottom"/>
            <w:hideMark/>
          </w:tcPr>
          <w:p w:rsidR="006A1127" w:rsidRPr="006A1127" w:rsidRDefault="006A1127" w:rsidP="006A1127">
            <w:pPr>
              <w:spacing w:after="0"/>
              <w:contextualSpacing w:val="0"/>
              <w:jc w:val="right"/>
              <w:rPr>
                <w:rFonts w:eastAsia="Times New Roman" w:cs="Times New Roman"/>
                <w:szCs w:val="24"/>
              </w:rPr>
            </w:pPr>
            <w:r w:rsidRPr="006A1127">
              <w:rPr>
                <w:rFonts w:eastAsia="Times New Roman" w:cs="Times New Roman"/>
                <w:szCs w:val="24"/>
              </w:rPr>
              <w:t>3113B</w:t>
            </w:r>
          </w:p>
        </w:tc>
        <w:tc>
          <w:tcPr>
            <w:tcW w:w="1080" w:type="dxa"/>
            <w:shd w:val="clear" w:color="auto" w:fill="auto"/>
            <w:noWrap/>
            <w:vAlign w:val="bottom"/>
            <w:hideMark/>
          </w:tcPr>
          <w:p w:rsidR="006A1127" w:rsidRPr="006A1127" w:rsidRDefault="006A1127" w:rsidP="006A1127">
            <w:pPr>
              <w:spacing w:after="0"/>
              <w:contextualSpacing w:val="0"/>
              <w:jc w:val="right"/>
              <w:rPr>
                <w:rFonts w:eastAsia="Times New Roman" w:cs="Times New Roman"/>
                <w:szCs w:val="24"/>
              </w:rPr>
            </w:pPr>
            <w:r w:rsidRPr="006A1127">
              <w:rPr>
                <w:rFonts w:eastAsia="Times New Roman" w:cs="Times New Roman"/>
                <w:szCs w:val="24"/>
              </w:rPr>
              <w:t>32.5</w:t>
            </w:r>
          </w:p>
        </w:tc>
      </w:tr>
      <w:tr w:rsidR="006A1127" w:rsidRPr="006A1127" w:rsidTr="006A1127">
        <w:trPr>
          <w:trHeight w:val="315"/>
        </w:trPr>
        <w:tc>
          <w:tcPr>
            <w:tcW w:w="272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r w:rsidRPr="006A1127">
              <w:rPr>
                <w:rFonts w:eastAsia="Times New Roman" w:cs="Times New Roman"/>
                <w:szCs w:val="24"/>
              </w:rPr>
              <w:t>Standard Labs (NEST)</w:t>
            </w:r>
          </w:p>
        </w:tc>
        <w:tc>
          <w:tcPr>
            <w:tcW w:w="46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p>
        </w:tc>
        <w:tc>
          <w:tcPr>
            <w:tcW w:w="1080" w:type="dxa"/>
            <w:shd w:val="clear" w:color="auto" w:fill="auto"/>
            <w:noWrap/>
            <w:vAlign w:val="bottom"/>
            <w:hideMark/>
          </w:tcPr>
          <w:p w:rsidR="006A1127" w:rsidRPr="006A1127" w:rsidRDefault="006A1127" w:rsidP="006A1127">
            <w:pPr>
              <w:spacing w:after="0"/>
              <w:contextualSpacing w:val="0"/>
              <w:jc w:val="right"/>
              <w:rPr>
                <w:rFonts w:eastAsia="Times New Roman" w:cs="Times New Roman"/>
                <w:szCs w:val="24"/>
              </w:rPr>
            </w:pPr>
            <w:r w:rsidRPr="006A1127">
              <w:rPr>
                <w:rFonts w:eastAsia="Times New Roman" w:cs="Times New Roman"/>
                <w:szCs w:val="24"/>
              </w:rPr>
              <w:t>9.88</w:t>
            </w:r>
          </w:p>
        </w:tc>
        <w:tc>
          <w:tcPr>
            <w:tcW w:w="108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r w:rsidRPr="006A1127">
              <w:rPr>
                <w:rFonts w:eastAsia="Times New Roman" w:cs="Times New Roman"/>
                <w:szCs w:val="24"/>
              </w:rPr>
              <w:t>µg/L</w:t>
            </w:r>
          </w:p>
        </w:tc>
        <w:tc>
          <w:tcPr>
            <w:tcW w:w="1080" w:type="dxa"/>
            <w:shd w:val="clear" w:color="auto" w:fill="auto"/>
            <w:noWrap/>
            <w:vAlign w:val="bottom"/>
            <w:hideMark/>
          </w:tcPr>
          <w:p w:rsidR="006A1127" w:rsidRPr="006A1127" w:rsidRDefault="006A1127" w:rsidP="006A1127">
            <w:pPr>
              <w:spacing w:after="0"/>
              <w:contextualSpacing w:val="0"/>
              <w:jc w:val="right"/>
              <w:rPr>
                <w:rFonts w:eastAsia="Times New Roman" w:cs="Times New Roman"/>
                <w:szCs w:val="24"/>
              </w:rPr>
            </w:pPr>
            <w:r w:rsidRPr="006A1127">
              <w:rPr>
                <w:rFonts w:eastAsia="Times New Roman" w:cs="Times New Roman"/>
                <w:szCs w:val="24"/>
              </w:rPr>
              <w:t>200.9</w:t>
            </w:r>
          </w:p>
        </w:tc>
        <w:tc>
          <w:tcPr>
            <w:tcW w:w="1080" w:type="dxa"/>
            <w:shd w:val="clear" w:color="auto" w:fill="auto"/>
            <w:noWrap/>
            <w:vAlign w:val="bottom"/>
            <w:hideMark/>
          </w:tcPr>
          <w:p w:rsidR="006A1127" w:rsidRPr="006A1127" w:rsidRDefault="006A1127" w:rsidP="006A1127">
            <w:pPr>
              <w:spacing w:after="0"/>
              <w:contextualSpacing w:val="0"/>
              <w:jc w:val="right"/>
              <w:rPr>
                <w:rFonts w:eastAsia="Times New Roman" w:cs="Times New Roman"/>
                <w:szCs w:val="24"/>
              </w:rPr>
            </w:pPr>
            <w:r w:rsidRPr="006A1127">
              <w:rPr>
                <w:rFonts w:eastAsia="Times New Roman" w:cs="Times New Roman"/>
                <w:szCs w:val="24"/>
              </w:rPr>
              <w:t>49.4</w:t>
            </w:r>
          </w:p>
        </w:tc>
      </w:tr>
      <w:tr w:rsidR="006A1127" w:rsidRPr="006A1127" w:rsidTr="006A1127">
        <w:trPr>
          <w:trHeight w:val="315"/>
        </w:trPr>
        <w:tc>
          <w:tcPr>
            <w:tcW w:w="272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r w:rsidRPr="006A1127">
              <w:rPr>
                <w:rFonts w:eastAsia="Times New Roman" w:cs="Times New Roman"/>
                <w:szCs w:val="24"/>
              </w:rPr>
              <w:t>REI Consultants</w:t>
            </w:r>
          </w:p>
        </w:tc>
        <w:tc>
          <w:tcPr>
            <w:tcW w:w="46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p>
        </w:tc>
        <w:tc>
          <w:tcPr>
            <w:tcW w:w="1080" w:type="dxa"/>
            <w:shd w:val="clear" w:color="auto" w:fill="auto"/>
            <w:noWrap/>
            <w:vAlign w:val="bottom"/>
            <w:hideMark/>
          </w:tcPr>
          <w:p w:rsidR="006A1127" w:rsidRPr="006A1127" w:rsidRDefault="006A1127" w:rsidP="006A1127">
            <w:pPr>
              <w:spacing w:after="0"/>
              <w:contextualSpacing w:val="0"/>
              <w:jc w:val="right"/>
              <w:rPr>
                <w:rFonts w:eastAsia="Times New Roman" w:cs="Times New Roman"/>
                <w:szCs w:val="24"/>
              </w:rPr>
            </w:pPr>
            <w:r w:rsidRPr="006A1127">
              <w:rPr>
                <w:rFonts w:eastAsia="Times New Roman" w:cs="Times New Roman"/>
                <w:szCs w:val="24"/>
              </w:rPr>
              <w:t>17.2</w:t>
            </w:r>
          </w:p>
        </w:tc>
        <w:tc>
          <w:tcPr>
            <w:tcW w:w="108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r w:rsidRPr="006A1127">
              <w:rPr>
                <w:rFonts w:eastAsia="Times New Roman" w:cs="Times New Roman"/>
                <w:szCs w:val="24"/>
              </w:rPr>
              <w:t>µg/L</w:t>
            </w:r>
          </w:p>
        </w:tc>
        <w:tc>
          <w:tcPr>
            <w:tcW w:w="1080" w:type="dxa"/>
            <w:shd w:val="clear" w:color="auto" w:fill="auto"/>
            <w:noWrap/>
            <w:vAlign w:val="bottom"/>
            <w:hideMark/>
          </w:tcPr>
          <w:p w:rsidR="006A1127" w:rsidRPr="006A1127" w:rsidRDefault="006A1127" w:rsidP="006A1127">
            <w:pPr>
              <w:spacing w:after="0"/>
              <w:contextualSpacing w:val="0"/>
              <w:jc w:val="right"/>
              <w:rPr>
                <w:rFonts w:eastAsia="Times New Roman" w:cs="Times New Roman"/>
                <w:szCs w:val="24"/>
              </w:rPr>
            </w:pPr>
            <w:r w:rsidRPr="006A1127">
              <w:rPr>
                <w:rFonts w:eastAsia="Times New Roman" w:cs="Times New Roman"/>
                <w:szCs w:val="24"/>
              </w:rPr>
              <w:t>200.8</w:t>
            </w:r>
          </w:p>
        </w:tc>
        <w:tc>
          <w:tcPr>
            <w:tcW w:w="1080" w:type="dxa"/>
            <w:shd w:val="clear" w:color="auto" w:fill="auto"/>
            <w:noWrap/>
            <w:vAlign w:val="bottom"/>
            <w:hideMark/>
          </w:tcPr>
          <w:p w:rsidR="006A1127" w:rsidRPr="006A1127" w:rsidRDefault="006A1127" w:rsidP="006A1127">
            <w:pPr>
              <w:spacing w:after="0"/>
              <w:contextualSpacing w:val="0"/>
              <w:jc w:val="right"/>
              <w:rPr>
                <w:rFonts w:eastAsia="Times New Roman" w:cs="Times New Roman"/>
                <w:szCs w:val="24"/>
              </w:rPr>
            </w:pPr>
            <w:r w:rsidRPr="006A1127">
              <w:rPr>
                <w:rFonts w:eastAsia="Times New Roman" w:cs="Times New Roman"/>
                <w:szCs w:val="24"/>
              </w:rPr>
              <w:t>86.0</w:t>
            </w:r>
          </w:p>
        </w:tc>
      </w:tr>
      <w:tr w:rsidR="006A1127" w:rsidRPr="006A1127" w:rsidTr="006A1127">
        <w:trPr>
          <w:trHeight w:val="315"/>
        </w:trPr>
        <w:tc>
          <w:tcPr>
            <w:tcW w:w="272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r w:rsidRPr="006A1127">
              <w:rPr>
                <w:rFonts w:eastAsia="Times New Roman" w:cs="Times New Roman"/>
                <w:szCs w:val="24"/>
              </w:rPr>
              <w:t>Reliance - Bridgeport</w:t>
            </w:r>
          </w:p>
        </w:tc>
        <w:tc>
          <w:tcPr>
            <w:tcW w:w="46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r w:rsidRPr="006A1127">
              <w:rPr>
                <w:rFonts w:eastAsia="Times New Roman" w:cs="Times New Roman"/>
                <w:szCs w:val="24"/>
              </w:rPr>
              <w:t>&lt;1</w:t>
            </w:r>
          </w:p>
        </w:tc>
        <w:tc>
          <w:tcPr>
            <w:tcW w:w="1080" w:type="dxa"/>
            <w:shd w:val="clear" w:color="auto" w:fill="auto"/>
            <w:noWrap/>
            <w:vAlign w:val="bottom"/>
            <w:hideMark/>
          </w:tcPr>
          <w:p w:rsidR="006A1127" w:rsidRPr="006A1127" w:rsidRDefault="006A1127" w:rsidP="006A1127">
            <w:pPr>
              <w:spacing w:after="0"/>
              <w:contextualSpacing w:val="0"/>
              <w:jc w:val="right"/>
              <w:rPr>
                <w:rFonts w:eastAsia="Times New Roman" w:cs="Times New Roman"/>
                <w:szCs w:val="24"/>
              </w:rPr>
            </w:pPr>
            <w:r w:rsidRPr="006A1127">
              <w:rPr>
                <w:rFonts w:eastAsia="Times New Roman" w:cs="Times New Roman"/>
                <w:szCs w:val="24"/>
              </w:rPr>
              <w:t>0</w:t>
            </w:r>
          </w:p>
        </w:tc>
        <w:tc>
          <w:tcPr>
            <w:tcW w:w="108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r w:rsidRPr="006A1127">
              <w:rPr>
                <w:rFonts w:eastAsia="Times New Roman" w:cs="Times New Roman"/>
                <w:szCs w:val="24"/>
              </w:rPr>
              <w:t>µg/L</w:t>
            </w:r>
          </w:p>
        </w:tc>
        <w:tc>
          <w:tcPr>
            <w:tcW w:w="1080" w:type="dxa"/>
            <w:shd w:val="clear" w:color="auto" w:fill="auto"/>
            <w:noWrap/>
            <w:vAlign w:val="bottom"/>
            <w:hideMark/>
          </w:tcPr>
          <w:p w:rsidR="006A1127" w:rsidRPr="006A1127" w:rsidRDefault="006A1127" w:rsidP="006A1127">
            <w:pPr>
              <w:spacing w:after="0"/>
              <w:contextualSpacing w:val="0"/>
              <w:jc w:val="right"/>
              <w:rPr>
                <w:rFonts w:eastAsia="Times New Roman" w:cs="Times New Roman"/>
                <w:szCs w:val="24"/>
              </w:rPr>
            </w:pPr>
            <w:r w:rsidRPr="006A1127">
              <w:rPr>
                <w:rFonts w:eastAsia="Times New Roman" w:cs="Times New Roman"/>
                <w:szCs w:val="24"/>
              </w:rPr>
              <w:t>200.8</w:t>
            </w:r>
          </w:p>
        </w:tc>
        <w:tc>
          <w:tcPr>
            <w:tcW w:w="1080" w:type="dxa"/>
            <w:shd w:val="clear" w:color="auto" w:fill="auto"/>
            <w:noWrap/>
            <w:vAlign w:val="bottom"/>
            <w:hideMark/>
          </w:tcPr>
          <w:p w:rsidR="006A1127" w:rsidRPr="006A1127" w:rsidRDefault="006A1127" w:rsidP="006A1127">
            <w:pPr>
              <w:spacing w:after="0"/>
              <w:contextualSpacing w:val="0"/>
              <w:jc w:val="right"/>
              <w:rPr>
                <w:rFonts w:eastAsia="Times New Roman" w:cs="Times New Roman"/>
                <w:szCs w:val="24"/>
              </w:rPr>
            </w:pPr>
            <w:r w:rsidRPr="006A1127">
              <w:rPr>
                <w:rFonts w:eastAsia="Times New Roman" w:cs="Times New Roman"/>
                <w:szCs w:val="24"/>
              </w:rPr>
              <w:t>0.0</w:t>
            </w:r>
          </w:p>
        </w:tc>
      </w:tr>
      <w:tr w:rsidR="006A1127" w:rsidRPr="006A1127" w:rsidTr="006A1127">
        <w:trPr>
          <w:trHeight w:val="315"/>
        </w:trPr>
        <w:tc>
          <w:tcPr>
            <w:tcW w:w="272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r w:rsidRPr="006A1127">
              <w:rPr>
                <w:rFonts w:eastAsia="Times New Roman" w:cs="Times New Roman"/>
                <w:szCs w:val="24"/>
              </w:rPr>
              <w:t>Analabs</w:t>
            </w:r>
          </w:p>
        </w:tc>
        <w:tc>
          <w:tcPr>
            <w:tcW w:w="46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p>
        </w:tc>
        <w:tc>
          <w:tcPr>
            <w:tcW w:w="1080" w:type="dxa"/>
            <w:shd w:val="clear" w:color="auto" w:fill="auto"/>
            <w:noWrap/>
            <w:vAlign w:val="bottom"/>
            <w:hideMark/>
          </w:tcPr>
          <w:p w:rsidR="006A1127" w:rsidRPr="006A1127" w:rsidRDefault="006A1127" w:rsidP="006A1127">
            <w:pPr>
              <w:spacing w:after="0"/>
              <w:contextualSpacing w:val="0"/>
              <w:jc w:val="right"/>
              <w:rPr>
                <w:rFonts w:eastAsia="Times New Roman" w:cs="Times New Roman"/>
                <w:szCs w:val="24"/>
              </w:rPr>
            </w:pPr>
            <w:r w:rsidRPr="006A1127">
              <w:rPr>
                <w:rFonts w:eastAsia="Times New Roman" w:cs="Times New Roman"/>
                <w:szCs w:val="24"/>
              </w:rPr>
              <w:t>14.7</w:t>
            </w:r>
          </w:p>
        </w:tc>
        <w:tc>
          <w:tcPr>
            <w:tcW w:w="108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r w:rsidRPr="006A1127">
              <w:rPr>
                <w:rFonts w:eastAsia="Times New Roman" w:cs="Times New Roman"/>
                <w:szCs w:val="24"/>
              </w:rPr>
              <w:t>µg/L</w:t>
            </w:r>
          </w:p>
        </w:tc>
        <w:tc>
          <w:tcPr>
            <w:tcW w:w="1080" w:type="dxa"/>
            <w:shd w:val="clear" w:color="auto" w:fill="auto"/>
            <w:noWrap/>
            <w:vAlign w:val="bottom"/>
            <w:hideMark/>
          </w:tcPr>
          <w:p w:rsidR="006A1127" w:rsidRPr="006A1127" w:rsidRDefault="006A1127" w:rsidP="006A1127">
            <w:pPr>
              <w:spacing w:after="0"/>
              <w:contextualSpacing w:val="0"/>
              <w:jc w:val="right"/>
              <w:rPr>
                <w:rFonts w:eastAsia="Times New Roman" w:cs="Times New Roman"/>
                <w:szCs w:val="24"/>
              </w:rPr>
            </w:pPr>
            <w:r w:rsidRPr="006A1127">
              <w:rPr>
                <w:rFonts w:eastAsia="Times New Roman" w:cs="Times New Roman"/>
                <w:szCs w:val="24"/>
              </w:rPr>
              <w:t>200.8</w:t>
            </w:r>
          </w:p>
        </w:tc>
        <w:tc>
          <w:tcPr>
            <w:tcW w:w="1080" w:type="dxa"/>
            <w:shd w:val="clear" w:color="auto" w:fill="auto"/>
            <w:noWrap/>
            <w:vAlign w:val="bottom"/>
            <w:hideMark/>
          </w:tcPr>
          <w:p w:rsidR="006A1127" w:rsidRPr="006A1127" w:rsidRDefault="006A1127" w:rsidP="006A1127">
            <w:pPr>
              <w:spacing w:after="0"/>
              <w:contextualSpacing w:val="0"/>
              <w:jc w:val="right"/>
              <w:rPr>
                <w:rFonts w:eastAsia="Times New Roman" w:cs="Times New Roman"/>
                <w:szCs w:val="24"/>
              </w:rPr>
            </w:pPr>
            <w:r w:rsidRPr="006A1127">
              <w:rPr>
                <w:rFonts w:eastAsia="Times New Roman" w:cs="Times New Roman"/>
                <w:szCs w:val="24"/>
              </w:rPr>
              <w:t>73.5</w:t>
            </w:r>
          </w:p>
        </w:tc>
      </w:tr>
      <w:tr w:rsidR="006A1127" w:rsidRPr="006A1127" w:rsidTr="006A1127">
        <w:trPr>
          <w:trHeight w:val="315"/>
        </w:trPr>
        <w:tc>
          <w:tcPr>
            <w:tcW w:w="272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r w:rsidRPr="006A1127">
              <w:rPr>
                <w:rFonts w:eastAsia="Times New Roman" w:cs="Times New Roman"/>
                <w:szCs w:val="24"/>
              </w:rPr>
              <w:t>REI Consultants</w:t>
            </w:r>
          </w:p>
        </w:tc>
        <w:tc>
          <w:tcPr>
            <w:tcW w:w="46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p>
        </w:tc>
        <w:tc>
          <w:tcPr>
            <w:tcW w:w="1080" w:type="dxa"/>
            <w:shd w:val="clear" w:color="auto" w:fill="auto"/>
            <w:noWrap/>
            <w:vAlign w:val="bottom"/>
            <w:hideMark/>
          </w:tcPr>
          <w:p w:rsidR="006A1127" w:rsidRPr="006A1127" w:rsidRDefault="006A1127" w:rsidP="006A1127">
            <w:pPr>
              <w:spacing w:after="0"/>
              <w:contextualSpacing w:val="0"/>
              <w:jc w:val="right"/>
              <w:rPr>
                <w:rFonts w:eastAsia="Times New Roman" w:cs="Times New Roman"/>
                <w:szCs w:val="24"/>
              </w:rPr>
            </w:pPr>
            <w:r w:rsidRPr="006A1127">
              <w:rPr>
                <w:rFonts w:eastAsia="Times New Roman" w:cs="Times New Roman"/>
                <w:szCs w:val="24"/>
              </w:rPr>
              <w:t>17.8</w:t>
            </w:r>
          </w:p>
        </w:tc>
        <w:tc>
          <w:tcPr>
            <w:tcW w:w="108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r w:rsidRPr="006A1127">
              <w:rPr>
                <w:rFonts w:eastAsia="Times New Roman" w:cs="Times New Roman"/>
                <w:szCs w:val="24"/>
              </w:rPr>
              <w:t>µg/L</w:t>
            </w:r>
          </w:p>
        </w:tc>
        <w:tc>
          <w:tcPr>
            <w:tcW w:w="1080" w:type="dxa"/>
            <w:shd w:val="clear" w:color="auto" w:fill="auto"/>
            <w:noWrap/>
            <w:vAlign w:val="bottom"/>
            <w:hideMark/>
          </w:tcPr>
          <w:p w:rsidR="006A1127" w:rsidRPr="006A1127" w:rsidRDefault="006A1127" w:rsidP="006A1127">
            <w:pPr>
              <w:spacing w:after="0"/>
              <w:contextualSpacing w:val="0"/>
              <w:jc w:val="right"/>
              <w:rPr>
                <w:rFonts w:eastAsia="Times New Roman" w:cs="Times New Roman"/>
                <w:szCs w:val="24"/>
              </w:rPr>
            </w:pPr>
            <w:r w:rsidRPr="006A1127">
              <w:rPr>
                <w:rFonts w:eastAsia="Times New Roman" w:cs="Times New Roman"/>
                <w:szCs w:val="24"/>
              </w:rPr>
              <w:t>3114M</w:t>
            </w:r>
          </w:p>
        </w:tc>
        <w:tc>
          <w:tcPr>
            <w:tcW w:w="1080" w:type="dxa"/>
            <w:shd w:val="clear" w:color="auto" w:fill="auto"/>
            <w:noWrap/>
            <w:vAlign w:val="bottom"/>
            <w:hideMark/>
          </w:tcPr>
          <w:p w:rsidR="006A1127" w:rsidRPr="006A1127" w:rsidRDefault="006A1127" w:rsidP="006A1127">
            <w:pPr>
              <w:spacing w:after="0"/>
              <w:contextualSpacing w:val="0"/>
              <w:jc w:val="right"/>
              <w:rPr>
                <w:rFonts w:eastAsia="Times New Roman" w:cs="Times New Roman"/>
                <w:szCs w:val="24"/>
              </w:rPr>
            </w:pPr>
            <w:r w:rsidRPr="006A1127">
              <w:rPr>
                <w:rFonts w:eastAsia="Times New Roman" w:cs="Times New Roman"/>
                <w:szCs w:val="24"/>
              </w:rPr>
              <w:t>89.0</w:t>
            </w:r>
          </w:p>
        </w:tc>
      </w:tr>
      <w:tr w:rsidR="006A1127" w:rsidRPr="006A1127" w:rsidTr="006A1127">
        <w:trPr>
          <w:trHeight w:val="315"/>
        </w:trPr>
        <w:tc>
          <w:tcPr>
            <w:tcW w:w="272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r w:rsidRPr="006A1127">
              <w:rPr>
                <w:rFonts w:eastAsia="Times New Roman" w:cs="Times New Roman"/>
                <w:szCs w:val="24"/>
              </w:rPr>
              <w:t>Tradet</w:t>
            </w:r>
          </w:p>
        </w:tc>
        <w:tc>
          <w:tcPr>
            <w:tcW w:w="46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p>
        </w:tc>
        <w:tc>
          <w:tcPr>
            <w:tcW w:w="1080" w:type="dxa"/>
            <w:shd w:val="clear" w:color="auto" w:fill="auto"/>
            <w:noWrap/>
            <w:vAlign w:val="bottom"/>
            <w:hideMark/>
          </w:tcPr>
          <w:p w:rsidR="006A1127" w:rsidRPr="006A1127" w:rsidRDefault="006A1127" w:rsidP="006A1127">
            <w:pPr>
              <w:spacing w:after="0"/>
              <w:contextualSpacing w:val="0"/>
              <w:jc w:val="right"/>
              <w:rPr>
                <w:rFonts w:eastAsia="Times New Roman" w:cs="Times New Roman"/>
                <w:szCs w:val="24"/>
              </w:rPr>
            </w:pPr>
            <w:r w:rsidRPr="006A1127">
              <w:rPr>
                <w:rFonts w:eastAsia="Times New Roman" w:cs="Times New Roman"/>
                <w:szCs w:val="24"/>
              </w:rPr>
              <w:t>19.2</w:t>
            </w:r>
          </w:p>
        </w:tc>
        <w:tc>
          <w:tcPr>
            <w:tcW w:w="108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r w:rsidRPr="006A1127">
              <w:rPr>
                <w:rFonts w:eastAsia="Times New Roman" w:cs="Times New Roman"/>
                <w:szCs w:val="24"/>
              </w:rPr>
              <w:t>µg/L</w:t>
            </w:r>
          </w:p>
        </w:tc>
        <w:tc>
          <w:tcPr>
            <w:tcW w:w="1080" w:type="dxa"/>
            <w:shd w:val="clear" w:color="auto" w:fill="auto"/>
            <w:noWrap/>
            <w:vAlign w:val="bottom"/>
            <w:hideMark/>
          </w:tcPr>
          <w:p w:rsidR="006A1127" w:rsidRPr="006A1127" w:rsidRDefault="006A1127" w:rsidP="006A1127">
            <w:pPr>
              <w:spacing w:after="0"/>
              <w:contextualSpacing w:val="0"/>
              <w:jc w:val="right"/>
              <w:rPr>
                <w:rFonts w:eastAsia="Times New Roman" w:cs="Times New Roman"/>
                <w:szCs w:val="24"/>
              </w:rPr>
            </w:pPr>
            <w:r w:rsidRPr="006A1127">
              <w:rPr>
                <w:rFonts w:eastAsia="Times New Roman" w:cs="Times New Roman"/>
                <w:szCs w:val="24"/>
              </w:rPr>
              <w:t>3114</w:t>
            </w:r>
          </w:p>
        </w:tc>
        <w:tc>
          <w:tcPr>
            <w:tcW w:w="1080" w:type="dxa"/>
            <w:shd w:val="clear" w:color="auto" w:fill="auto"/>
            <w:noWrap/>
            <w:vAlign w:val="bottom"/>
            <w:hideMark/>
          </w:tcPr>
          <w:p w:rsidR="006A1127" w:rsidRPr="006A1127" w:rsidRDefault="006A1127" w:rsidP="006A1127">
            <w:pPr>
              <w:spacing w:after="0"/>
              <w:contextualSpacing w:val="0"/>
              <w:jc w:val="right"/>
              <w:rPr>
                <w:rFonts w:eastAsia="Times New Roman" w:cs="Times New Roman"/>
                <w:szCs w:val="24"/>
              </w:rPr>
            </w:pPr>
            <w:r w:rsidRPr="006A1127">
              <w:rPr>
                <w:rFonts w:eastAsia="Times New Roman" w:cs="Times New Roman"/>
                <w:szCs w:val="24"/>
              </w:rPr>
              <w:t>96.0</w:t>
            </w:r>
          </w:p>
        </w:tc>
      </w:tr>
      <w:tr w:rsidR="006A1127" w:rsidRPr="006A1127" w:rsidTr="006A1127">
        <w:trPr>
          <w:trHeight w:val="315"/>
        </w:trPr>
        <w:tc>
          <w:tcPr>
            <w:tcW w:w="272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p>
        </w:tc>
        <w:tc>
          <w:tcPr>
            <w:tcW w:w="46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p>
        </w:tc>
        <w:tc>
          <w:tcPr>
            <w:tcW w:w="108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p>
        </w:tc>
        <w:tc>
          <w:tcPr>
            <w:tcW w:w="108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p>
        </w:tc>
        <w:tc>
          <w:tcPr>
            <w:tcW w:w="1080" w:type="dxa"/>
            <w:shd w:val="clear" w:color="auto" w:fill="auto"/>
            <w:noWrap/>
            <w:vAlign w:val="bottom"/>
            <w:hideMark/>
          </w:tcPr>
          <w:p w:rsidR="006A1127" w:rsidRPr="006A1127" w:rsidRDefault="006A1127" w:rsidP="006A1127">
            <w:pPr>
              <w:spacing w:after="0"/>
              <w:contextualSpacing w:val="0"/>
              <w:jc w:val="right"/>
              <w:rPr>
                <w:rFonts w:eastAsia="Times New Roman" w:cs="Times New Roman"/>
                <w:szCs w:val="24"/>
              </w:rPr>
            </w:pPr>
          </w:p>
        </w:tc>
        <w:tc>
          <w:tcPr>
            <w:tcW w:w="108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p>
        </w:tc>
      </w:tr>
      <w:tr w:rsidR="006A1127" w:rsidRPr="006A1127" w:rsidTr="006A1127">
        <w:trPr>
          <w:trHeight w:val="315"/>
        </w:trPr>
        <w:tc>
          <w:tcPr>
            <w:tcW w:w="272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r w:rsidRPr="006A1127">
              <w:rPr>
                <w:rFonts w:eastAsia="Times New Roman" w:cs="Times New Roman"/>
                <w:szCs w:val="24"/>
              </w:rPr>
              <w:t>Referee</w:t>
            </w:r>
          </w:p>
        </w:tc>
        <w:tc>
          <w:tcPr>
            <w:tcW w:w="46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p>
        </w:tc>
        <w:tc>
          <w:tcPr>
            <w:tcW w:w="1080" w:type="dxa"/>
            <w:shd w:val="clear" w:color="auto" w:fill="auto"/>
            <w:noWrap/>
            <w:vAlign w:val="bottom"/>
            <w:hideMark/>
          </w:tcPr>
          <w:p w:rsidR="006A1127" w:rsidRPr="006A1127" w:rsidRDefault="006A1127" w:rsidP="006A1127">
            <w:pPr>
              <w:spacing w:after="0"/>
              <w:contextualSpacing w:val="0"/>
              <w:jc w:val="right"/>
              <w:rPr>
                <w:rFonts w:eastAsia="Times New Roman" w:cs="Times New Roman"/>
                <w:szCs w:val="24"/>
              </w:rPr>
            </w:pPr>
            <w:r w:rsidRPr="006A1127">
              <w:rPr>
                <w:rFonts w:eastAsia="Times New Roman" w:cs="Times New Roman"/>
                <w:szCs w:val="24"/>
              </w:rPr>
              <w:t>20</w:t>
            </w:r>
          </w:p>
        </w:tc>
        <w:tc>
          <w:tcPr>
            <w:tcW w:w="108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p>
        </w:tc>
        <w:tc>
          <w:tcPr>
            <w:tcW w:w="1080" w:type="dxa"/>
            <w:shd w:val="clear" w:color="auto" w:fill="auto"/>
            <w:noWrap/>
            <w:vAlign w:val="bottom"/>
            <w:hideMark/>
          </w:tcPr>
          <w:p w:rsidR="006A1127" w:rsidRPr="006A1127" w:rsidRDefault="006A1127" w:rsidP="006A1127">
            <w:pPr>
              <w:spacing w:after="0"/>
              <w:contextualSpacing w:val="0"/>
              <w:jc w:val="right"/>
              <w:rPr>
                <w:rFonts w:eastAsia="Times New Roman" w:cs="Times New Roman"/>
                <w:szCs w:val="24"/>
              </w:rPr>
            </w:pPr>
            <w:r w:rsidRPr="006A1127">
              <w:rPr>
                <w:rFonts w:eastAsia="Times New Roman" w:cs="Times New Roman"/>
                <w:szCs w:val="24"/>
              </w:rPr>
              <w:t>6020</w:t>
            </w:r>
          </w:p>
        </w:tc>
        <w:tc>
          <w:tcPr>
            <w:tcW w:w="1080" w:type="dxa"/>
            <w:shd w:val="clear" w:color="auto" w:fill="auto"/>
            <w:noWrap/>
            <w:vAlign w:val="bottom"/>
            <w:hideMark/>
          </w:tcPr>
          <w:p w:rsidR="006A1127" w:rsidRPr="006A1127" w:rsidRDefault="006A1127" w:rsidP="006A1127">
            <w:pPr>
              <w:spacing w:after="0"/>
              <w:contextualSpacing w:val="0"/>
              <w:jc w:val="right"/>
              <w:rPr>
                <w:rFonts w:eastAsia="Times New Roman" w:cs="Times New Roman"/>
                <w:szCs w:val="24"/>
              </w:rPr>
            </w:pPr>
            <w:r w:rsidRPr="006A1127">
              <w:rPr>
                <w:rFonts w:eastAsia="Times New Roman" w:cs="Times New Roman"/>
                <w:szCs w:val="24"/>
              </w:rPr>
              <w:t>100.0</w:t>
            </w:r>
          </w:p>
        </w:tc>
      </w:tr>
      <w:tr w:rsidR="006A1127" w:rsidRPr="006A1127" w:rsidTr="006A1127">
        <w:trPr>
          <w:trHeight w:val="315"/>
        </w:trPr>
        <w:tc>
          <w:tcPr>
            <w:tcW w:w="272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p>
        </w:tc>
        <w:tc>
          <w:tcPr>
            <w:tcW w:w="46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p>
        </w:tc>
        <w:tc>
          <w:tcPr>
            <w:tcW w:w="108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p>
        </w:tc>
        <w:tc>
          <w:tcPr>
            <w:tcW w:w="108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p>
        </w:tc>
        <w:tc>
          <w:tcPr>
            <w:tcW w:w="108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p>
        </w:tc>
        <w:tc>
          <w:tcPr>
            <w:tcW w:w="108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p>
        </w:tc>
      </w:tr>
      <w:tr w:rsidR="006A1127" w:rsidRPr="006A1127" w:rsidTr="006A1127">
        <w:trPr>
          <w:trHeight w:val="315"/>
        </w:trPr>
        <w:tc>
          <w:tcPr>
            <w:tcW w:w="272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r w:rsidRPr="006A1127">
              <w:rPr>
                <w:rFonts w:eastAsia="Times New Roman" w:cs="Times New Roman"/>
                <w:szCs w:val="24"/>
              </w:rPr>
              <w:t>Average, All data</w:t>
            </w:r>
          </w:p>
        </w:tc>
        <w:tc>
          <w:tcPr>
            <w:tcW w:w="46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p>
        </w:tc>
        <w:tc>
          <w:tcPr>
            <w:tcW w:w="1080" w:type="dxa"/>
            <w:shd w:val="clear" w:color="auto" w:fill="auto"/>
            <w:noWrap/>
            <w:vAlign w:val="bottom"/>
            <w:hideMark/>
          </w:tcPr>
          <w:p w:rsidR="006A1127" w:rsidRPr="006A1127" w:rsidRDefault="006A1127" w:rsidP="006A1127">
            <w:pPr>
              <w:spacing w:after="0"/>
              <w:contextualSpacing w:val="0"/>
              <w:jc w:val="right"/>
              <w:rPr>
                <w:rFonts w:eastAsia="Times New Roman" w:cs="Times New Roman"/>
                <w:szCs w:val="24"/>
              </w:rPr>
            </w:pPr>
            <w:r w:rsidRPr="006A1127">
              <w:rPr>
                <w:rFonts w:eastAsia="Times New Roman" w:cs="Times New Roman"/>
                <w:szCs w:val="24"/>
              </w:rPr>
              <w:t>14.0</w:t>
            </w:r>
          </w:p>
        </w:tc>
        <w:tc>
          <w:tcPr>
            <w:tcW w:w="108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r w:rsidRPr="006A1127">
              <w:rPr>
                <w:rFonts w:eastAsia="Times New Roman" w:cs="Times New Roman"/>
                <w:szCs w:val="24"/>
              </w:rPr>
              <w:t>µg/L</w:t>
            </w:r>
          </w:p>
        </w:tc>
        <w:tc>
          <w:tcPr>
            <w:tcW w:w="108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p>
        </w:tc>
        <w:tc>
          <w:tcPr>
            <w:tcW w:w="1080" w:type="dxa"/>
            <w:shd w:val="clear" w:color="auto" w:fill="auto"/>
            <w:noWrap/>
            <w:vAlign w:val="bottom"/>
            <w:hideMark/>
          </w:tcPr>
          <w:p w:rsidR="006A1127" w:rsidRPr="006A1127" w:rsidRDefault="006A1127" w:rsidP="006A1127">
            <w:pPr>
              <w:spacing w:after="0"/>
              <w:contextualSpacing w:val="0"/>
              <w:jc w:val="right"/>
              <w:rPr>
                <w:rFonts w:eastAsia="Times New Roman" w:cs="Times New Roman"/>
                <w:szCs w:val="24"/>
              </w:rPr>
            </w:pPr>
            <w:r w:rsidRPr="006A1127">
              <w:rPr>
                <w:rFonts w:eastAsia="Times New Roman" w:cs="Times New Roman"/>
                <w:szCs w:val="24"/>
              </w:rPr>
              <w:t>69.9</w:t>
            </w:r>
          </w:p>
        </w:tc>
      </w:tr>
      <w:tr w:rsidR="006A1127" w:rsidRPr="006A1127" w:rsidTr="006A1127">
        <w:trPr>
          <w:trHeight w:val="315"/>
        </w:trPr>
        <w:tc>
          <w:tcPr>
            <w:tcW w:w="272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r w:rsidRPr="006A1127">
              <w:rPr>
                <w:rFonts w:eastAsia="Times New Roman" w:cs="Times New Roman"/>
                <w:szCs w:val="24"/>
              </w:rPr>
              <w:t>Average, GFAA</w:t>
            </w:r>
          </w:p>
        </w:tc>
        <w:tc>
          <w:tcPr>
            <w:tcW w:w="46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p>
        </w:tc>
        <w:tc>
          <w:tcPr>
            <w:tcW w:w="1080" w:type="dxa"/>
            <w:shd w:val="clear" w:color="auto" w:fill="auto"/>
            <w:noWrap/>
            <w:vAlign w:val="bottom"/>
            <w:hideMark/>
          </w:tcPr>
          <w:p w:rsidR="006A1127" w:rsidRPr="006A1127" w:rsidRDefault="006A1127" w:rsidP="006A1127">
            <w:pPr>
              <w:spacing w:after="0"/>
              <w:contextualSpacing w:val="0"/>
              <w:jc w:val="right"/>
              <w:rPr>
                <w:rFonts w:eastAsia="Times New Roman" w:cs="Times New Roman"/>
                <w:szCs w:val="24"/>
              </w:rPr>
            </w:pPr>
            <w:r w:rsidRPr="006A1127">
              <w:rPr>
                <w:rFonts w:eastAsia="Times New Roman" w:cs="Times New Roman"/>
                <w:szCs w:val="24"/>
              </w:rPr>
              <w:t>14.2</w:t>
            </w:r>
          </w:p>
        </w:tc>
        <w:tc>
          <w:tcPr>
            <w:tcW w:w="108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r w:rsidRPr="006A1127">
              <w:rPr>
                <w:rFonts w:eastAsia="Times New Roman" w:cs="Times New Roman"/>
                <w:szCs w:val="24"/>
              </w:rPr>
              <w:t>µg/L</w:t>
            </w:r>
          </w:p>
        </w:tc>
        <w:tc>
          <w:tcPr>
            <w:tcW w:w="108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p>
        </w:tc>
        <w:tc>
          <w:tcPr>
            <w:tcW w:w="1080" w:type="dxa"/>
            <w:shd w:val="clear" w:color="auto" w:fill="auto"/>
            <w:noWrap/>
            <w:vAlign w:val="bottom"/>
            <w:hideMark/>
          </w:tcPr>
          <w:p w:rsidR="006A1127" w:rsidRPr="006A1127" w:rsidRDefault="006A1127" w:rsidP="006A1127">
            <w:pPr>
              <w:spacing w:after="0"/>
              <w:contextualSpacing w:val="0"/>
              <w:jc w:val="right"/>
              <w:rPr>
                <w:rFonts w:eastAsia="Times New Roman" w:cs="Times New Roman"/>
                <w:szCs w:val="24"/>
              </w:rPr>
            </w:pPr>
            <w:r w:rsidRPr="006A1127">
              <w:rPr>
                <w:rFonts w:eastAsia="Times New Roman" w:cs="Times New Roman"/>
                <w:szCs w:val="24"/>
              </w:rPr>
              <w:t>70.9</w:t>
            </w:r>
          </w:p>
        </w:tc>
      </w:tr>
      <w:tr w:rsidR="006A1127" w:rsidRPr="006A1127" w:rsidTr="006A1127">
        <w:trPr>
          <w:trHeight w:val="315"/>
        </w:trPr>
        <w:tc>
          <w:tcPr>
            <w:tcW w:w="272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r w:rsidRPr="006A1127">
              <w:rPr>
                <w:rFonts w:eastAsia="Times New Roman" w:cs="Times New Roman"/>
                <w:szCs w:val="24"/>
              </w:rPr>
              <w:t>Average ICP/MS</w:t>
            </w:r>
          </w:p>
        </w:tc>
        <w:tc>
          <w:tcPr>
            <w:tcW w:w="46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p>
        </w:tc>
        <w:tc>
          <w:tcPr>
            <w:tcW w:w="1080" w:type="dxa"/>
            <w:shd w:val="clear" w:color="auto" w:fill="auto"/>
            <w:noWrap/>
            <w:vAlign w:val="bottom"/>
            <w:hideMark/>
          </w:tcPr>
          <w:p w:rsidR="006A1127" w:rsidRPr="006A1127" w:rsidRDefault="006A1127" w:rsidP="006A1127">
            <w:pPr>
              <w:spacing w:after="0"/>
              <w:contextualSpacing w:val="0"/>
              <w:jc w:val="right"/>
              <w:rPr>
                <w:rFonts w:eastAsia="Times New Roman" w:cs="Times New Roman"/>
                <w:szCs w:val="24"/>
              </w:rPr>
            </w:pPr>
            <w:r w:rsidRPr="006A1127">
              <w:rPr>
                <w:rFonts w:eastAsia="Times New Roman" w:cs="Times New Roman"/>
                <w:szCs w:val="24"/>
              </w:rPr>
              <w:t>10.6</w:t>
            </w:r>
          </w:p>
        </w:tc>
        <w:tc>
          <w:tcPr>
            <w:tcW w:w="108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r w:rsidRPr="006A1127">
              <w:rPr>
                <w:rFonts w:eastAsia="Times New Roman" w:cs="Times New Roman"/>
                <w:szCs w:val="24"/>
              </w:rPr>
              <w:t>µg/L</w:t>
            </w:r>
          </w:p>
        </w:tc>
        <w:tc>
          <w:tcPr>
            <w:tcW w:w="108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p>
        </w:tc>
        <w:tc>
          <w:tcPr>
            <w:tcW w:w="1080" w:type="dxa"/>
            <w:shd w:val="clear" w:color="auto" w:fill="auto"/>
            <w:noWrap/>
            <w:vAlign w:val="bottom"/>
            <w:hideMark/>
          </w:tcPr>
          <w:p w:rsidR="006A1127" w:rsidRPr="006A1127" w:rsidRDefault="006A1127" w:rsidP="006A1127">
            <w:pPr>
              <w:spacing w:after="0"/>
              <w:contextualSpacing w:val="0"/>
              <w:jc w:val="right"/>
              <w:rPr>
                <w:rFonts w:eastAsia="Times New Roman" w:cs="Times New Roman"/>
                <w:szCs w:val="24"/>
              </w:rPr>
            </w:pPr>
            <w:r w:rsidRPr="006A1127">
              <w:rPr>
                <w:rFonts w:eastAsia="Times New Roman" w:cs="Times New Roman"/>
                <w:szCs w:val="24"/>
              </w:rPr>
              <w:t>53.2</w:t>
            </w:r>
          </w:p>
        </w:tc>
      </w:tr>
      <w:tr w:rsidR="006A1127" w:rsidRPr="006A1127" w:rsidTr="006A1127">
        <w:trPr>
          <w:trHeight w:val="315"/>
        </w:trPr>
        <w:tc>
          <w:tcPr>
            <w:tcW w:w="272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r w:rsidRPr="006A1127">
              <w:rPr>
                <w:rFonts w:eastAsia="Times New Roman" w:cs="Times New Roman"/>
                <w:szCs w:val="24"/>
              </w:rPr>
              <w:t>Average Hydride</w:t>
            </w:r>
          </w:p>
        </w:tc>
        <w:tc>
          <w:tcPr>
            <w:tcW w:w="46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p>
        </w:tc>
        <w:tc>
          <w:tcPr>
            <w:tcW w:w="1080" w:type="dxa"/>
            <w:shd w:val="clear" w:color="auto" w:fill="auto"/>
            <w:noWrap/>
            <w:vAlign w:val="bottom"/>
            <w:hideMark/>
          </w:tcPr>
          <w:p w:rsidR="006A1127" w:rsidRPr="006A1127" w:rsidRDefault="006A1127" w:rsidP="006A1127">
            <w:pPr>
              <w:spacing w:after="0"/>
              <w:contextualSpacing w:val="0"/>
              <w:jc w:val="right"/>
              <w:rPr>
                <w:rFonts w:eastAsia="Times New Roman" w:cs="Times New Roman"/>
                <w:szCs w:val="24"/>
              </w:rPr>
            </w:pPr>
            <w:r w:rsidRPr="006A1127">
              <w:rPr>
                <w:rFonts w:eastAsia="Times New Roman" w:cs="Times New Roman"/>
                <w:szCs w:val="24"/>
              </w:rPr>
              <w:t>18.5</w:t>
            </w:r>
          </w:p>
        </w:tc>
        <w:tc>
          <w:tcPr>
            <w:tcW w:w="108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r w:rsidRPr="006A1127">
              <w:rPr>
                <w:rFonts w:eastAsia="Times New Roman" w:cs="Times New Roman"/>
                <w:szCs w:val="24"/>
              </w:rPr>
              <w:t>µg/L</w:t>
            </w:r>
          </w:p>
        </w:tc>
        <w:tc>
          <w:tcPr>
            <w:tcW w:w="1080" w:type="dxa"/>
            <w:shd w:val="clear" w:color="auto" w:fill="auto"/>
            <w:noWrap/>
            <w:vAlign w:val="bottom"/>
            <w:hideMark/>
          </w:tcPr>
          <w:p w:rsidR="006A1127" w:rsidRPr="006A1127" w:rsidRDefault="006A1127" w:rsidP="006A1127">
            <w:pPr>
              <w:spacing w:after="0"/>
              <w:contextualSpacing w:val="0"/>
              <w:rPr>
                <w:rFonts w:eastAsia="Times New Roman" w:cs="Times New Roman"/>
                <w:szCs w:val="24"/>
              </w:rPr>
            </w:pPr>
          </w:p>
        </w:tc>
        <w:tc>
          <w:tcPr>
            <w:tcW w:w="1080" w:type="dxa"/>
            <w:shd w:val="clear" w:color="auto" w:fill="auto"/>
            <w:noWrap/>
            <w:vAlign w:val="bottom"/>
            <w:hideMark/>
          </w:tcPr>
          <w:p w:rsidR="006A1127" w:rsidRPr="006A1127" w:rsidRDefault="006A1127" w:rsidP="006A1127">
            <w:pPr>
              <w:spacing w:after="0"/>
              <w:contextualSpacing w:val="0"/>
              <w:jc w:val="right"/>
              <w:rPr>
                <w:rFonts w:eastAsia="Times New Roman" w:cs="Times New Roman"/>
                <w:szCs w:val="24"/>
              </w:rPr>
            </w:pPr>
            <w:r w:rsidRPr="006A1127">
              <w:rPr>
                <w:rFonts w:eastAsia="Times New Roman" w:cs="Times New Roman"/>
                <w:szCs w:val="24"/>
              </w:rPr>
              <w:t>92.5</w:t>
            </w:r>
          </w:p>
        </w:tc>
      </w:tr>
    </w:tbl>
    <w:p w:rsidR="006A1127" w:rsidRPr="006A1127" w:rsidRDefault="006A1127" w:rsidP="006A1127">
      <w:pPr>
        <w:pStyle w:val="NoSpacing"/>
      </w:pPr>
    </w:p>
    <w:p w:rsidR="006A1127" w:rsidRDefault="006A1127" w:rsidP="00AF7A5F">
      <w:pPr>
        <w:pStyle w:val="NoSpacing"/>
      </w:pPr>
    </w:p>
    <w:p w:rsidR="006A1127" w:rsidRDefault="006A1127" w:rsidP="00AF7A5F">
      <w:pPr>
        <w:pStyle w:val="NoSpacing"/>
      </w:pPr>
    </w:p>
    <w:p w:rsidR="006A1127" w:rsidRDefault="006A1127" w:rsidP="00AF7A5F">
      <w:pPr>
        <w:pStyle w:val="NoSpacing"/>
      </w:pPr>
    </w:p>
    <w:p w:rsidR="006A1127" w:rsidRDefault="006A1127" w:rsidP="00AF7A5F">
      <w:pPr>
        <w:pStyle w:val="NoSpacing"/>
      </w:pPr>
    </w:p>
    <w:p w:rsidR="006A1127" w:rsidRDefault="006A1127" w:rsidP="00AF7A5F">
      <w:pPr>
        <w:pStyle w:val="NoSpacing"/>
      </w:pPr>
    </w:p>
    <w:p w:rsidR="006A1127" w:rsidRDefault="006A1127" w:rsidP="00AF7A5F">
      <w:pPr>
        <w:pStyle w:val="NoSpacing"/>
      </w:pPr>
    </w:p>
    <w:p w:rsidR="006A1127" w:rsidRDefault="006A1127" w:rsidP="00AF7A5F">
      <w:pPr>
        <w:pStyle w:val="NoSpacing"/>
      </w:pPr>
    </w:p>
    <w:p w:rsidR="006A1127" w:rsidRDefault="006A1127" w:rsidP="00AF7A5F">
      <w:pPr>
        <w:pStyle w:val="NoSpacing"/>
      </w:pPr>
    </w:p>
    <w:p w:rsidR="006A1127" w:rsidRDefault="006A1127" w:rsidP="00AF7A5F">
      <w:pPr>
        <w:pStyle w:val="NoSpacing"/>
      </w:pPr>
    </w:p>
    <w:p w:rsidR="006A1127" w:rsidRDefault="006A1127" w:rsidP="00AF7A5F">
      <w:pPr>
        <w:pStyle w:val="NoSpacing"/>
      </w:pPr>
    </w:p>
    <w:p w:rsidR="006A1127" w:rsidRDefault="006A1127" w:rsidP="00AF7A5F">
      <w:pPr>
        <w:pStyle w:val="NoSpacing"/>
      </w:pPr>
    </w:p>
    <w:p w:rsidR="006A1127" w:rsidRDefault="006A1127" w:rsidP="00AF7A5F">
      <w:pPr>
        <w:pStyle w:val="NoSpacing"/>
      </w:pPr>
    </w:p>
    <w:p w:rsidR="006A1127" w:rsidRDefault="006A1127" w:rsidP="00AF7A5F">
      <w:pPr>
        <w:pStyle w:val="NoSpacing"/>
      </w:pPr>
    </w:p>
    <w:p w:rsidR="006A1127" w:rsidRDefault="006A1127" w:rsidP="00AF7A5F">
      <w:pPr>
        <w:pStyle w:val="NoSpacing"/>
      </w:pPr>
    </w:p>
    <w:p w:rsidR="006A1127" w:rsidRDefault="006A1127" w:rsidP="00AF7A5F">
      <w:pPr>
        <w:pStyle w:val="NoSpacing"/>
      </w:pPr>
    </w:p>
    <w:p w:rsidR="006A1127" w:rsidRDefault="006A1127" w:rsidP="00AF7A5F">
      <w:pPr>
        <w:pStyle w:val="NoSpacing"/>
      </w:pPr>
    </w:p>
    <w:p w:rsidR="006A1127" w:rsidRDefault="006A1127" w:rsidP="00AF7A5F">
      <w:pPr>
        <w:pStyle w:val="NoSpacing"/>
      </w:pPr>
    </w:p>
    <w:p w:rsidR="006A1127" w:rsidRDefault="006A1127" w:rsidP="00AF7A5F">
      <w:pPr>
        <w:pStyle w:val="NoSpacing"/>
      </w:pPr>
    </w:p>
    <w:p w:rsidR="006A1127" w:rsidRDefault="006A1127" w:rsidP="00AF7A5F">
      <w:pPr>
        <w:pStyle w:val="NoSpacing"/>
      </w:pPr>
    </w:p>
    <w:p w:rsidR="006A1127" w:rsidRDefault="006A1127" w:rsidP="00AF7A5F">
      <w:pPr>
        <w:pStyle w:val="NoSpacing"/>
      </w:pPr>
    </w:p>
    <w:p w:rsidR="006A1127" w:rsidRDefault="006A1127" w:rsidP="00AF7A5F">
      <w:pPr>
        <w:pStyle w:val="NoSpacing"/>
      </w:pPr>
    </w:p>
    <w:p w:rsidR="006A1127" w:rsidRDefault="006A1127" w:rsidP="006A1127">
      <w:r>
        <w:t>The following chart gives a visual depiction of the raw results from Phase IV 20 µg/L sample.</w:t>
      </w:r>
    </w:p>
    <w:p w:rsidR="006A1127" w:rsidRDefault="006A1127" w:rsidP="006A1127">
      <w:pPr>
        <w:pStyle w:val="NoSpacing"/>
      </w:pPr>
    </w:p>
    <w:p w:rsidR="006A1127" w:rsidRPr="001923D8" w:rsidRDefault="001923D8" w:rsidP="006A1127">
      <w:pPr>
        <w:pStyle w:val="NoSpacing"/>
        <w:rPr>
          <w:b/>
          <w:sz w:val="32"/>
          <w:szCs w:val="32"/>
        </w:rPr>
      </w:pPr>
      <w:r w:rsidRPr="001923D8">
        <w:rPr>
          <w:b/>
          <w:sz w:val="32"/>
          <w:szCs w:val="32"/>
        </w:rPr>
        <w:t>Chart 11</w:t>
      </w:r>
      <w:r w:rsidR="009C0CED" w:rsidRPr="001923D8">
        <w:rPr>
          <w:b/>
          <w:sz w:val="32"/>
          <w:szCs w:val="32"/>
        </w:rPr>
        <w:t>.</w:t>
      </w:r>
    </w:p>
    <w:p w:rsidR="006A1127" w:rsidRDefault="006A1127" w:rsidP="00AF7A5F">
      <w:pPr>
        <w:pStyle w:val="NoSpacing"/>
      </w:pPr>
    </w:p>
    <w:p w:rsidR="009F6C3F" w:rsidRDefault="009F6C3F" w:rsidP="00AF7A5F">
      <w:pPr>
        <w:pStyle w:val="NoSpacing"/>
      </w:pPr>
      <w:r w:rsidRPr="009F6C3F">
        <w:rPr>
          <w:noProof/>
        </w:rPr>
        <w:drawing>
          <wp:inline distT="0" distB="0" distL="0" distR="0">
            <wp:extent cx="5943600" cy="5200650"/>
            <wp:effectExtent l="19050" t="0" r="1905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W w:w="9627" w:type="dxa"/>
        <w:tblInd w:w="108" w:type="dxa"/>
        <w:tblLook w:val="04A0"/>
      </w:tblPr>
      <w:tblGrid>
        <w:gridCol w:w="2645"/>
        <w:gridCol w:w="850"/>
        <w:gridCol w:w="1883"/>
        <w:gridCol w:w="850"/>
        <w:gridCol w:w="2549"/>
        <w:gridCol w:w="850"/>
      </w:tblGrid>
      <w:tr w:rsidR="001923D8" w:rsidRPr="00C71448" w:rsidTr="004A23A7">
        <w:trPr>
          <w:trHeight w:val="325"/>
        </w:trPr>
        <w:tc>
          <w:tcPr>
            <w:tcW w:w="2490" w:type="dxa"/>
            <w:tcBorders>
              <w:top w:val="nil"/>
              <w:left w:val="nil"/>
              <w:bottom w:val="nil"/>
              <w:right w:val="nil"/>
            </w:tcBorders>
            <w:shd w:val="clear" w:color="auto" w:fill="auto"/>
            <w:noWrap/>
            <w:vAlign w:val="bottom"/>
            <w:hideMark/>
          </w:tcPr>
          <w:p w:rsidR="001923D8" w:rsidRPr="00C71448" w:rsidRDefault="001923D8" w:rsidP="004A23A7">
            <w:pPr>
              <w:spacing w:after="0"/>
              <w:contextualSpacing w:val="0"/>
              <w:rPr>
                <w:rFonts w:eastAsia="Times New Roman" w:cs="Times New Roman"/>
                <w:color w:val="000000"/>
                <w:szCs w:val="24"/>
              </w:rPr>
            </w:pPr>
            <w:r w:rsidRPr="00C71448">
              <w:rPr>
                <w:rFonts w:eastAsia="Times New Roman" w:cs="Times New Roman"/>
                <w:color w:val="000000"/>
                <w:szCs w:val="24"/>
              </w:rPr>
              <w:t>Graphite Furnace AA</w:t>
            </w:r>
          </w:p>
        </w:tc>
        <w:tc>
          <w:tcPr>
            <w:tcW w:w="800" w:type="dxa"/>
            <w:tcBorders>
              <w:top w:val="nil"/>
              <w:left w:val="nil"/>
              <w:bottom w:val="nil"/>
              <w:right w:val="nil"/>
            </w:tcBorders>
            <w:shd w:val="clear" w:color="000000" w:fill="FFFF00"/>
            <w:noWrap/>
            <w:vAlign w:val="bottom"/>
            <w:hideMark/>
          </w:tcPr>
          <w:p w:rsidR="001923D8" w:rsidRPr="00C71448" w:rsidRDefault="001923D8" w:rsidP="004A23A7">
            <w:pPr>
              <w:spacing w:after="0"/>
              <w:contextualSpacing w:val="0"/>
              <w:rPr>
                <w:rFonts w:ascii="Calibri" w:eastAsia="Times New Roman" w:hAnsi="Calibri" w:cs="Times New Roman"/>
                <w:color w:val="000000"/>
                <w:sz w:val="22"/>
              </w:rPr>
            </w:pPr>
            <w:r w:rsidRPr="00C71448">
              <w:rPr>
                <w:rFonts w:ascii="Calibri" w:eastAsia="Times New Roman" w:hAnsi="Calibri" w:cs="Times New Roman"/>
                <w:color w:val="000000"/>
                <w:sz w:val="22"/>
              </w:rPr>
              <w:t> </w:t>
            </w:r>
          </w:p>
        </w:tc>
        <w:tc>
          <w:tcPr>
            <w:tcW w:w="1773" w:type="dxa"/>
            <w:tcBorders>
              <w:top w:val="nil"/>
              <w:left w:val="nil"/>
              <w:bottom w:val="nil"/>
              <w:right w:val="nil"/>
            </w:tcBorders>
            <w:shd w:val="clear" w:color="auto" w:fill="auto"/>
            <w:noWrap/>
            <w:vAlign w:val="bottom"/>
            <w:hideMark/>
          </w:tcPr>
          <w:p w:rsidR="001923D8" w:rsidRPr="00C71448" w:rsidRDefault="001923D8" w:rsidP="004A23A7">
            <w:pPr>
              <w:spacing w:after="0"/>
              <w:contextualSpacing w:val="0"/>
              <w:rPr>
                <w:rFonts w:eastAsia="Times New Roman" w:cs="Times New Roman"/>
                <w:color w:val="000000"/>
                <w:szCs w:val="24"/>
              </w:rPr>
            </w:pPr>
            <w:r w:rsidRPr="00C71448">
              <w:rPr>
                <w:rFonts w:eastAsia="Times New Roman" w:cs="Times New Roman"/>
                <w:color w:val="000000"/>
                <w:szCs w:val="24"/>
              </w:rPr>
              <w:t>ICP- Mass Spec</w:t>
            </w:r>
          </w:p>
        </w:tc>
        <w:tc>
          <w:tcPr>
            <w:tcW w:w="800" w:type="dxa"/>
            <w:tcBorders>
              <w:top w:val="nil"/>
              <w:left w:val="nil"/>
              <w:bottom w:val="nil"/>
              <w:right w:val="nil"/>
            </w:tcBorders>
            <w:shd w:val="clear" w:color="000000" w:fill="00B050"/>
            <w:noWrap/>
            <w:vAlign w:val="bottom"/>
            <w:hideMark/>
          </w:tcPr>
          <w:p w:rsidR="001923D8" w:rsidRPr="00C71448" w:rsidRDefault="001923D8" w:rsidP="004A23A7">
            <w:pPr>
              <w:spacing w:after="0"/>
              <w:contextualSpacing w:val="0"/>
              <w:rPr>
                <w:rFonts w:ascii="Calibri" w:eastAsia="Times New Roman" w:hAnsi="Calibri" w:cs="Times New Roman"/>
                <w:color w:val="000000"/>
                <w:sz w:val="22"/>
              </w:rPr>
            </w:pPr>
            <w:r w:rsidRPr="00C71448">
              <w:rPr>
                <w:rFonts w:ascii="Calibri" w:eastAsia="Times New Roman" w:hAnsi="Calibri" w:cs="Times New Roman"/>
                <w:color w:val="000000"/>
                <w:sz w:val="22"/>
              </w:rPr>
              <w:t> </w:t>
            </w:r>
          </w:p>
        </w:tc>
        <w:tc>
          <w:tcPr>
            <w:tcW w:w="2400" w:type="dxa"/>
            <w:tcBorders>
              <w:top w:val="nil"/>
              <w:left w:val="nil"/>
              <w:bottom w:val="nil"/>
              <w:right w:val="nil"/>
            </w:tcBorders>
            <w:shd w:val="clear" w:color="auto" w:fill="auto"/>
            <w:noWrap/>
            <w:vAlign w:val="bottom"/>
            <w:hideMark/>
          </w:tcPr>
          <w:p w:rsidR="001923D8" w:rsidRPr="00C71448" w:rsidRDefault="001923D8" w:rsidP="004A23A7">
            <w:pPr>
              <w:spacing w:after="0"/>
              <w:contextualSpacing w:val="0"/>
              <w:rPr>
                <w:rFonts w:eastAsia="Times New Roman" w:cs="Times New Roman"/>
                <w:color w:val="000000"/>
                <w:szCs w:val="24"/>
              </w:rPr>
            </w:pPr>
            <w:r w:rsidRPr="00C71448">
              <w:rPr>
                <w:rFonts w:eastAsia="Times New Roman" w:cs="Times New Roman"/>
                <w:color w:val="000000"/>
                <w:szCs w:val="24"/>
              </w:rPr>
              <w:t>Gaseous Hydride-AA</w:t>
            </w:r>
            <w:r>
              <w:rPr>
                <w:rFonts w:eastAsia="Times New Roman" w:cs="Times New Roman"/>
                <w:color w:val="000000"/>
                <w:szCs w:val="24"/>
              </w:rPr>
              <w:t xml:space="preserve"> or AF</w:t>
            </w:r>
          </w:p>
        </w:tc>
        <w:tc>
          <w:tcPr>
            <w:tcW w:w="800" w:type="dxa"/>
            <w:tcBorders>
              <w:top w:val="nil"/>
              <w:left w:val="nil"/>
              <w:bottom w:val="nil"/>
              <w:right w:val="nil"/>
            </w:tcBorders>
            <w:shd w:val="clear" w:color="000000" w:fill="7030A0"/>
            <w:noWrap/>
            <w:vAlign w:val="bottom"/>
            <w:hideMark/>
          </w:tcPr>
          <w:p w:rsidR="001923D8" w:rsidRPr="00C71448" w:rsidRDefault="001923D8" w:rsidP="004A23A7">
            <w:pPr>
              <w:spacing w:after="0"/>
              <w:contextualSpacing w:val="0"/>
              <w:rPr>
                <w:rFonts w:ascii="Calibri" w:eastAsia="Times New Roman" w:hAnsi="Calibri" w:cs="Times New Roman"/>
                <w:color w:val="000000"/>
                <w:sz w:val="22"/>
              </w:rPr>
            </w:pPr>
            <w:r w:rsidRPr="00C71448">
              <w:rPr>
                <w:rFonts w:ascii="Calibri" w:eastAsia="Times New Roman" w:hAnsi="Calibri" w:cs="Times New Roman"/>
                <w:color w:val="000000"/>
                <w:sz w:val="22"/>
              </w:rPr>
              <w:t> </w:t>
            </w:r>
          </w:p>
        </w:tc>
      </w:tr>
    </w:tbl>
    <w:p w:rsidR="009F6C3F" w:rsidRDefault="009F6C3F" w:rsidP="00AF7A5F">
      <w:pPr>
        <w:pStyle w:val="NoSpacing"/>
      </w:pPr>
    </w:p>
    <w:p w:rsidR="009F6C3F" w:rsidRDefault="009F6C3F" w:rsidP="00AF7A5F">
      <w:pPr>
        <w:pStyle w:val="NoSpacing"/>
      </w:pPr>
    </w:p>
    <w:p w:rsidR="009F6C3F" w:rsidRDefault="009F6C3F" w:rsidP="00AF7A5F">
      <w:pPr>
        <w:pStyle w:val="NoSpacing"/>
      </w:pPr>
    </w:p>
    <w:p w:rsidR="009F6C3F" w:rsidRDefault="009F6C3F" w:rsidP="00AF7A5F">
      <w:pPr>
        <w:pStyle w:val="NoSpacing"/>
      </w:pPr>
    </w:p>
    <w:p w:rsidR="009F6C3F" w:rsidRDefault="009F6C3F" w:rsidP="00AF7A5F">
      <w:pPr>
        <w:pStyle w:val="NoSpacing"/>
      </w:pPr>
    </w:p>
    <w:p w:rsidR="009F6C3F" w:rsidRDefault="009F6C3F" w:rsidP="00AF7A5F">
      <w:pPr>
        <w:pStyle w:val="NoSpacing"/>
      </w:pPr>
    </w:p>
    <w:p w:rsidR="009F6C3F" w:rsidRDefault="009F6C3F" w:rsidP="00AF7A5F">
      <w:pPr>
        <w:pStyle w:val="NoSpacing"/>
      </w:pPr>
    </w:p>
    <w:p w:rsidR="009F6C3F" w:rsidRDefault="009F6C3F" w:rsidP="00115B37">
      <w:pPr>
        <w:spacing w:after="0" w:line="276" w:lineRule="auto"/>
      </w:pPr>
      <w:r>
        <w:lastRenderedPageBreak/>
        <w:t>The following chart gives a visual depiction of the percent recovery data for raw results from Phase IV 20 µg/L sample.</w:t>
      </w:r>
    </w:p>
    <w:p w:rsidR="009F6C3F" w:rsidRPr="001923D8" w:rsidRDefault="009F6C3F" w:rsidP="009F6C3F">
      <w:pPr>
        <w:pStyle w:val="NoSpacing"/>
        <w:rPr>
          <w:b/>
          <w:sz w:val="32"/>
          <w:szCs w:val="32"/>
        </w:rPr>
      </w:pPr>
      <w:r w:rsidRPr="001923D8">
        <w:rPr>
          <w:b/>
          <w:sz w:val="32"/>
          <w:szCs w:val="32"/>
        </w:rPr>
        <w:t>Chart 1</w:t>
      </w:r>
      <w:r w:rsidR="001923D8" w:rsidRPr="001923D8">
        <w:rPr>
          <w:b/>
          <w:sz w:val="32"/>
          <w:szCs w:val="32"/>
        </w:rPr>
        <w:t>2</w:t>
      </w:r>
      <w:r w:rsidRPr="001923D8">
        <w:rPr>
          <w:b/>
          <w:sz w:val="32"/>
          <w:szCs w:val="32"/>
        </w:rPr>
        <w:t>.</w:t>
      </w:r>
    </w:p>
    <w:p w:rsidR="009F6C3F" w:rsidRDefault="009F6C3F" w:rsidP="009F6C3F">
      <w:pPr>
        <w:pStyle w:val="NoSpacing"/>
        <w:rPr>
          <w:b/>
        </w:rPr>
      </w:pPr>
    </w:p>
    <w:p w:rsidR="009F6C3F" w:rsidRDefault="009F6C3F" w:rsidP="009F6C3F">
      <w:pPr>
        <w:pStyle w:val="NoSpacing"/>
        <w:rPr>
          <w:b/>
        </w:rPr>
      </w:pPr>
      <w:r w:rsidRPr="009F6C3F">
        <w:rPr>
          <w:b/>
          <w:noProof/>
        </w:rPr>
        <w:drawing>
          <wp:inline distT="0" distB="0" distL="0" distR="0">
            <wp:extent cx="5943600" cy="5200650"/>
            <wp:effectExtent l="19050" t="0" r="1905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bl>
      <w:tblPr>
        <w:tblW w:w="9627" w:type="dxa"/>
        <w:tblInd w:w="108" w:type="dxa"/>
        <w:tblLook w:val="04A0"/>
      </w:tblPr>
      <w:tblGrid>
        <w:gridCol w:w="2645"/>
        <w:gridCol w:w="850"/>
        <w:gridCol w:w="1883"/>
        <w:gridCol w:w="850"/>
        <w:gridCol w:w="2549"/>
        <w:gridCol w:w="850"/>
      </w:tblGrid>
      <w:tr w:rsidR="001923D8" w:rsidRPr="00C71448" w:rsidTr="004A23A7">
        <w:trPr>
          <w:trHeight w:val="325"/>
        </w:trPr>
        <w:tc>
          <w:tcPr>
            <w:tcW w:w="2490" w:type="dxa"/>
            <w:tcBorders>
              <w:top w:val="nil"/>
              <w:left w:val="nil"/>
              <w:bottom w:val="nil"/>
              <w:right w:val="nil"/>
            </w:tcBorders>
            <w:shd w:val="clear" w:color="auto" w:fill="auto"/>
            <w:noWrap/>
            <w:vAlign w:val="bottom"/>
            <w:hideMark/>
          </w:tcPr>
          <w:p w:rsidR="001923D8" w:rsidRPr="00C71448" w:rsidRDefault="001923D8" w:rsidP="004A23A7">
            <w:pPr>
              <w:spacing w:after="0"/>
              <w:contextualSpacing w:val="0"/>
              <w:rPr>
                <w:rFonts w:eastAsia="Times New Roman" w:cs="Times New Roman"/>
                <w:color w:val="000000"/>
                <w:szCs w:val="24"/>
              </w:rPr>
            </w:pPr>
            <w:r w:rsidRPr="00C71448">
              <w:rPr>
                <w:rFonts w:eastAsia="Times New Roman" w:cs="Times New Roman"/>
                <w:color w:val="000000"/>
                <w:szCs w:val="24"/>
              </w:rPr>
              <w:t>Graphite Furnace AA</w:t>
            </w:r>
          </w:p>
        </w:tc>
        <w:tc>
          <w:tcPr>
            <w:tcW w:w="800" w:type="dxa"/>
            <w:tcBorders>
              <w:top w:val="nil"/>
              <w:left w:val="nil"/>
              <w:bottom w:val="nil"/>
              <w:right w:val="nil"/>
            </w:tcBorders>
            <w:shd w:val="clear" w:color="000000" w:fill="FFFF00"/>
            <w:noWrap/>
            <w:vAlign w:val="bottom"/>
            <w:hideMark/>
          </w:tcPr>
          <w:p w:rsidR="001923D8" w:rsidRPr="00C71448" w:rsidRDefault="001923D8" w:rsidP="004A23A7">
            <w:pPr>
              <w:spacing w:after="0"/>
              <w:contextualSpacing w:val="0"/>
              <w:rPr>
                <w:rFonts w:ascii="Calibri" w:eastAsia="Times New Roman" w:hAnsi="Calibri" w:cs="Times New Roman"/>
                <w:color w:val="000000"/>
                <w:sz w:val="22"/>
              </w:rPr>
            </w:pPr>
            <w:r w:rsidRPr="00C71448">
              <w:rPr>
                <w:rFonts w:ascii="Calibri" w:eastAsia="Times New Roman" w:hAnsi="Calibri" w:cs="Times New Roman"/>
                <w:color w:val="000000"/>
                <w:sz w:val="22"/>
              </w:rPr>
              <w:t> </w:t>
            </w:r>
          </w:p>
        </w:tc>
        <w:tc>
          <w:tcPr>
            <w:tcW w:w="1773" w:type="dxa"/>
            <w:tcBorders>
              <w:top w:val="nil"/>
              <w:left w:val="nil"/>
              <w:bottom w:val="nil"/>
              <w:right w:val="nil"/>
            </w:tcBorders>
            <w:shd w:val="clear" w:color="auto" w:fill="auto"/>
            <w:noWrap/>
            <w:vAlign w:val="bottom"/>
            <w:hideMark/>
          </w:tcPr>
          <w:p w:rsidR="001923D8" w:rsidRPr="00C71448" w:rsidRDefault="001923D8" w:rsidP="004A23A7">
            <w:pPr>
              <w:spacing w:after="0"/>
              <w:contextualSpacing w:val="0"/>
              <w:rPr>
                <w:rFonts w:eastAsia="Times New Roman" w:cs="Times New Roman"/>
                <w:color w:val="000000"/>
                <w:szCs w:val="24"/>
              </w:rPr>
            </w:pPr>
            <w:r w:rsidRPr="00C71448">
              <w:rPr>
                <w:rFonts w:eastAsia="Times New Roman" w:cs="Times New Roman"/>
                <w:color w:val="000000"/>
                <w:szCs w:val="24"/>
              </w:rPr>
              <w:t>ICP- Mass Spec</w:t>
            </w:r>
          </w:p>
        </w:tc>
        <w:tc>
          <w:tcPr>
            <w:tcW w:w="800" w:type="dxa"/>
            <w:tcBorders>
              <w:top w:val="nil"/>
              <w:left w:val="nil"/>
              <w:bottom w:val="nil"/>
              <w:right w:val="nil"/>
            </w:tcBorders>
            <w:shd w:val="clear" w:color="000000" w:fill="00B050"/>
            <w:noWrap/>
            <w:vAlign w:val="bottom"/>
            <w:hideMark/>
          </w:tcPr>
          <w:p w:rsidR="001923D8" w:rsidRPr="00C71448" w:rsidRDefault="001923D8" w:rsidP="004A23A7">
            <w:pPr>
              <w:spacing w:after="0"/>
              <w:contextualSpacing w:val="0"/>
              <w:rPr>
                <w:rFonts w:ascii="Calibri" w:eastAsia="Times New Roman" w:hAnsi="Calibri" w:cs="Times New Roman"/>
                <w:color w:val="000000"/>
                <w:sz w:val="22"/>
              </w:rPr>
            </w:pPr>
            <w:r w:rsidRPr="00C71448">
              <w:rPr>
                <w:rFonts w:ascii="Calibri" w:eastAsia="Times New Roman" w:hAnsi="Calibri" w:cs="Times New Roman"/>
                <w:color w:val="000000"/>
                <w:sz w:val="22"/>
              </w:rPr>
              <w:t> </w:t>
            </w:r>
          </w:p>
        </w:tc>
        <w:tc>
          <w:tcPr>
            <w:tcW w:w="2400" w:type="dxa"/>
            <w:tcBorders>
              <w:top w:val="nil"/>
              <w:left w:val="nil"/>
              <w:bottom w:val="nil"/>
              <w:right w:val="nil"/>
            </w:tcBorders>
            <w:shd w:val="clear" w:color="auto" w:fill="auto"/>
            <w:noWrap/>
            <w:vAlign w:val="bottom"/>
            <w:hideMark/>
          </w:tcPr>
          <w:p w:rsidR="001923D8" w:rsidRPr="00C71448" w:rsidRDefault="001923D8" w:rsidP="004A23A7">
            <w:pPr>
              <w:spacing w:after="0"/>
              <w:contextualSpacing w:val="0"/>
              <w:rPr>
                <w:rFonts w:eastAsia="Times New Roman" w:cs="Times New Roman"/>
                <w:color w:val="000000"/>
                <w:szCs w:val="24"/>
              </w:rPr>
            </w:pPr>
            <w:r w:rsidRPr="00C71448">
              <w:rPr>
                <w:rFonts w:eastAsia="Times New Roman" w:cs="Times New Roman"/>
                <w:color w:val="000000"/>
                <w:szCs w:val="24"/>
              </w:rPr>
              <w:t>Gaseous Hydride-AA</w:t>
            </w:r>
            <w:r>
              <w:rPr>
                <w:rFonts w:eastAsia="Times New Roman" w:cs="Times New Roman"/>
                <w:color w:val="000000"/>
                <w:szCs w:val="24"/>
              </w:rPr>
              <w:t xml:space="preserve"> or AF</w:t>
            </w:r>
          </w:p>
        </w:tc>
        <w:tc>
          <w:tcPr>
            <w:tcW w:w="800" w:type="dxa"/>
            <w:tcBorders>
              <w:top w:val="nil"/>
              <w:left w:val="nil"/>
              <w:bottom w:val="nil"/>
              <w:right w:val="nil"/>
            </w:tcBorders>
            <w:shd w:val="clear" w:color="000000" w:fill="7030A0"/>
            <w:noWrap/>
            <w:vAlign w:val="bottom"/>
            <w:hideMark/>
          </w:tcPr>
          <w:p w:rsidR="001923D8" w:rsidRPr="00C71448" w:rsidRDefault="001923D8" w:rsidP="004A23A7">
            <w:pPr>
              <w:spacing w:after="0"/>
              <w:contextualSpacing w:val="0"/>
              <w:rPr>
                <w:rFonts w:ascii="Calibri" w:eastAsia="Times New Roman" w:hAnsi="Calibri" w:cs="Times New Roman"/>
                <w:color w:val="000000"/>
                <w:sz w:val="22"/>
              </w:rPr>
            </w:pPr>
            <w:r w:rsidRPr="00C71448">
              <w:rPr>
                <w:rFonts w:ascii="Calibri" w:eastAsia="Times New Roman" w:hAnsi="Calibri" w:cs="Times New Roman"/>
                <w:color w:val="000000"/>
                <w:sz w:val="22"/>
              </w:rPr>
              <w:t> </w:t>
            </w:r>
          </w:p>
        </w:tc>
      </w:tr>
    </w:tbl>
    <w:p w:rsidR="009F6C3F" w:rsidRDefault="009F6C3F" w:rsidP="009F6C3F">
      <w:pPr>
        <w:pStyle w:val="NoSpacing"/>
        <w:rPr>
          <w:b/>
        </w:rPr>
      </w:pPr>
    </w:p>
    <w:p w:rsidR="009F6C3F" w:rsidRDefault="009F6C3F" w:rsidP="00115B37">
      <w:pPr>
        <w:pStyle w:val="NoSpacing"/>
        <w:spacing w:line="276" w:lineRule="auto"/>
      </w:pPr>
      <w:r>
        <w:t xml:space="preserve">A review of the 20 µg/L data shows, as did the 5 µg/L data, that when the concentration of the sulfate ion increases, so does the difficultly in accurately quantifying Selenium in the sample.  </w:t>
      </w:r>
    </w:p>
    <w:p w:rsidR="009F6C3F" w:rsidRDefault="009F6C3F" w:rsidP="009F6C3F">
      <w:pPr>
        <w:pStyle w:val="NoSpacing"/>
      </w:pPr>
    </w:p>
    <w:p w:rsidR="009F6C3F" w:rsidRPr="009F6C3F" w:rsidRDefault="009F6C3F" w:rsidP="009F6C3F">
      <w:pPr>
        <w:pStyle w:val="NoSpacing"/>
      </w:pPr>
    </w:p>
    <w:p w:rsidR="001923D8" w:rsidRDefault="001923D8" w:rsidP="00AF7A5F">
      <w:pPr>
        <w:pStyle w:val="NoSpacing"/>
        <w:rPr>
          <w:b/>
        </w:rPr>
      </w:pPr>
    </w:p>
    <w:p w:rsidR="001923D8" w:rsidRDefault="001923D8" w:rsidP="00AF7A5F">
      <w:pPr>
        <w:pStyle w:val="NoSpacing"/>
        <w:rPr>
          <w:b/>
        </w:rPr>
      </w:pPr>
    </w:p>
    <w:p w:rsidR="001923D8" w:rsidRDefault="001923D8" w:rsidP="00AF7A5F">
      <w:pPr>
        <w:pStyle w:val="NoSpacing"/>
        <w:rPr>
          <w:b/>
        </w:rPr>
      </w:pPr>
    </w:p>
    <w:p w:rsidR="001923D8" w:rsidRDefault="001923D8" w:rsidP="00AF7A5F">
      <w:pPr>
        <w:pStyle w:val="NoSpacing"/>
        <w:rPr>
          <w:b/>
        </w:rPr>
      </w:pPr>
    </w:p>
    <w:p w:rsidR="001923D8" w:rsidRDefault="001923D8" w:rsidP="00AF7A5F">
      <w:pPr>
        <w:pStyle w:val="NoSpacing"/>
        <w:rPr>
          <w:b/>
        </w:rPr>
      </w:pPr>
    </w:p>
    <w:p w:rsidR="009F6C3F" w:rsidRPr="001923D8" w:rsidRDefault="009F6C3F" w:rsidP="00AF7A5F">
      <w:pPr>
        <w:pStyle w:val="NoSpacing"/>
        <w:rPr>
          <w:b/>
          <w:sz w:val="32"/>
          <w:szCs w:val="32"/>
        </w:rPr>
      </w:pPr>
      <w:r w:rsidRPr="001923D8">
        <w:rPr>
          <w:b/>
          <w:sz w:val="32"/>
          <w:szCs w:val="32"/>
        </w:rPr>
        <w:lastRenderedPageBreak/>
        <w:t>Conclusion</w:t>
      </w:r>
    </w:p>
    <w:p w:rsidR="009F6C3F" w:rsidRDefault="009F6C3F" w:rsidP="00AF7A5F">
      <w:pPr>
        <w:pStyle w:val="NoSpacing"/>
      </w:pPr>
    </w:p>
    <w:p w:rsidR="009F6C3F" w:rsidRDefault="009F6C3F" w:rsidP="00115B37">
      <w:pPr>
        <w:pStyle w:val="NoSpacing"/>
        <w:spacing w:line="276" w:lineRule="auto"/>
      </w:pPr>
      <w:r>
        <w:t xml:space="preserve">In the absence of interfering contaminants, any of the approved methods are satisfactory for analyzing Selenium.  However, in the presence of common mine-related interferences, GFAA and ICP/MS show difficultly in accurately quantifying Selenium.  ICP/MS appears to have difficultly even detecting Selenium in more contaminated samples, without using extraordinary techniques to examine each sample.  </w:t>
      </w:r>
      <w:r w:rsidR="00FA6E65">
        <w:t>The g</w:t>
      </w:r>
      <w:r>
        <w:t>aseous hydride technique seem</w:t>
      </w:r>
      <w:r w:rsidR="00FA6E65">
        <w:t>s</w:t>
      </w:r>
      <w:r>
        <w:t xml:space="preserve"> to generate the best data</w:t>
      </w:r>
      <w:r w:rsidR="00CF436C">
        <w:t xml:space="preserve"> when used in a routine manner</w:t>
      </w:r>
      <w:r w:rsidR="001923D8">
        <w:t>, regardless of whether the AA (Atomic Absorption) or AF (Atomic Fluorescence) detection technology is used</w:t>
      </w:r>
      <w:r w:rsidR="00115B37">
        <w:t>, although this observation is based on a small sample set as only two laboratories assessed used this technique.</w:t>
      </w:r>
    </w:p>
    <w:p w:rsidR="00CF436C" w:rsidRDefault="00CF436C" w:rsidP="00115B37">
      <w:pPr>
        <w:pStyle w:val="NoSpacing"/>
        <w:spacing w:line="276" w:lineRule="auto"/>
      </w:pPr>
    </w:p>
    <w:p w:rsidR="001923D8" w:rsidRDefault="00CF436C" w:rsidP="00115B37">
      <w:pPr>
        <w:pStyle w:val="NoSpacing"/>
        <w:spacing w:line="276" w:lineRule="auto"/>
      </w:pPr>
      <w:r>
        <w:t>If one is to generate acceptable data by GFAA</w:t>
      </w:r>
      <w:r w:rsidR="00385A12">
        <w:t xml:space="preserve"> in the presence of difficult matrices</w:t>
      </w:r>
      <w:r>
        <w:t>, some additional practices will have to be employed.  Method of Standard Additions</w:t>
      </w:r>
      <w:r w:rsidR="00385A12">
        <w:t xml:space="preserve"> (MSA)</w:t>
      </w:r>
      <w:r>
        <w:t xml:space="preserve"> should give much better results than a single analysis in an analytical sequence.  At a minimum, </w:t>
      </w:r>
      <w:r w:rsidR="00385A12">
        <w:t>a matrix spike will need to be analyzed with each sample</w:t>
      </w:r>
      <w:r w:rsidR="001923D8">
        <w:t xml:space="preserve"> and assessment of the matrix spike recovery used to determine if addition</w:t>
      </w:r>
      <w:r w:rsidR="00A13E2E">
        <w:t>al</w:t>
      </w:r>
      <w:r w:rsidR="001923D8">
        <w:t xml:space="preserve"> measures need to be taken to assure quality data</w:t>
      </w:r>
      <w:r>
        <w:t>.</w:t>
      </w:r>
      <w:r w:rsidR="00385A12">
        <w:t xml:space="preserve">  </w:t>
      </w:r>
    </w:p>
    <w:p w:rsidR="00CF436C" w:rsidRDefault="00CF436C" w:rsidP="00115B37">
      <w:pPr>
        <w:pStyle w:val="NoSpacing"/>
        <w:spacing w:line="276" w:lineRule="auto"/>
      </w:pPr>
    </w:p>
    <w:p w:rsidR="00CF436C" w:rsidRDefault="00CF436C" w:rsidP="00115B37">
      <w:pPr>
        <w:pStyle w:val="NoSpacing"/>
        <w:spacing w:line="276" w:lineRule="auto"/>
      </w:pPr>
      <w:r>
        <w:t>If one is to generate acceptable data by ICP/MS</w:t>
      </w:r>
      <w:r w:rsidR="00385A12" w:rsidRPr="00385A12">
        <w:t xml:space="preserve"> </w:t>
      </w:r>
      <w:r w:rsidR="00385A12">
        <w:t>in the presence of difficult matrices</w:t>
      </w:r>
      <w:r>
        <w:t xml:space="preserve">, some additional practices will have to be employed.  The analyst will have to review the raw data for each sample in detail.  </w:t>
      </w:r>
      <w:r w:rsidR="00385A12">
        <w:t xml:space="preserve"> Matrix spikes, dilutions, or MSA may need to be analyzed in order to qualify the data.</w:t>
      </w:r>
    </w:p>
    <w:p w:rsidR="00385A12" w:rsidRDefault="00385A12" w:rsidP="00115B37">
      <w:pPr>
        <w:pStyle w:val="NoSpacing"/>
        <w:spacing w:line="276" w:lineRule="auto"/>
      </w:pPr>
    </w:p>
    <w:p w:rsidR="00385A12" w:rsidRDefault="00385A12" w:rsidP="00115B37">
      <w:pPr>
        <w:pStyle w:val="NoSpacing"/>
        <w:spacing w:line="276" w:lineRule="auto"/>
      </w:pPr>
      <w:r>
        <w:t>For GFAA and ICP/MS mine related samples present inherent problems with detection and qua</w:t>
      </w:r>
      <w:r w:rsidR="001923D8">
        <w:t>n</w:t>
      </w:r>
      <w:r>
        <w:t>tification of Selenium.  In order to generate accurate data, laboratories will have to increase the number of Quality Control samples analyzed</w:t>
      </w:r>
      <w:r w:rsidR="001923D8">
        <w:t xml:space="preserve"> by these techniques</w:t>
      </w:r>
      <w:r>
        <w:t>.  This will increase the cost per analysis for Selenium.</w:t>
      </w:r>
    </w:p>
    <w:p w:rsidR="00FA6E65" w:rsidRDefault="00FA6E65" w:rsidP="00115B37">
      <w:pPr>
        <w:pStyle w:val="NoSpacing"/>
        <w:spacing w:line="276" w:lineRule="auto"/>
      </w:pPr>
    </w:p>
    <w:p w:rsidR="00FA6E65" w:rsidRDefault="00FA6E65" w:rsidP="00115B37">
      <w:pPr>
        <w:pStyle w:val="NoSpacing"/>
        <w:spacing w:line="276" w:lineRule="auto"/>
      </w:pPr>
      <w:r>
        <w:t>Based on this study and other sources, recommendations for ensuring better quality selenium data when working with mining samples or samples with elevated levels of constituents will be forthcoming from the WV DEP, DWWM Laboratory Certification Program.</w:t>
      </w:r>
    </w:p>
    <w:p w:rsidR="00E47461" w:rsidRDefault="00E47461" w:rsidP="00115B37">
      <w:pPr>
        <w:pStyle w:val="NoSpacing"/>
        <w:spacing w:line="276" w:lineRule="auto"/>
      </w:pPr>
    </w:p>
    <w:p w:rsidR="00E47461" w:rsidRPr="004A23A7" w:rsidRDefault="00E47461" w:rsidP="00115B37">
      <w:pPr>
        <w:pStyle w:val="NoSpacing"/>
        <w:spacing w:line="276" w:lineRule="auto"/>
        <w:rPr>
          <w:vanish/>
          <w:specVanish/>
        </w:rPr>
      </w:pPr>
      <w:r>
        <w:t>This study was funded and conducted by West Virginia Department of Environmental Protection.</w:t>
      </w:r>
    </w:p>
    <w:p w:rsidR="00A13E2E" w:rsidRDefault="004A23A7" w:rsidP="00115B37">
      <w:pPr>
        <w:pStyle w:val="NoSpacing"/>
        <w:spacing w:line="276" w:lineRule="auto"/>
      </w:pPr>
      <w:r>
        <w:t xml:space="preserve"> </w:t>
      </w:r>
      <w:r w:rsidR="00A13E2E">
        <w:t xml:space="preserve"> Any questions or concerns should be directed to:</w:t>
      </w:r>
    </w:p>
    <w:p w:rsidR="00A13E2E" w:rsidRDefault="00A13E2E" w:rsidP="00A13E2E">
      <w:pPr>
        <w:pStyle w:val="NoSpacing"/>
      </w:pPr>
    </w:p>
    <w:p w:rsidR="00A13E2E" w:rsidRDefault="00A13E2E" w:rsidP="00A13E2E">
      <w:pPr>
        <w:pStyle w:val="NoSpacing"/>
      </w:pPr>
      <w:r>
        <w:t xml:space="preserve">Daniel T. Arnold </w:t>
      </w:r>
    </w:p>
    <w:p w:rsidR="00A13E2E" w:rsidRDefault="00A13E2E" w:rsidP="00A13E2E">
      <w:pPr>
        <w:pStyle w:val="NoSpacing"/>
      </w:pPr>
      <w:r>
        <w:t>Program Manager</w:t>
      </w:r>
    </w:p>
    <w:p w:rsidR="00A13E2E" w:rsidRDefault="00A13E2E" w:rsidP="00A13E2E">
      <w:pPr>
        <w:pStyle w:val="NoSpacing"/>
      </w:pPr>
      <w:r>
        <w:t xml:space="preserve">WVDEP, DWWM </w:t>
      </w:r>
    </w:p>
    <w:p w:rsidR="00A13E2E" w:rsidRDefault="00A13E2E" w:rsidP="00A13E2E">
      <w:pPr>
        <w:pStyle w:val="NoSpacing"/>
      </w:pPr>
      <w:r>
        <w:t>601 57</w:t>
      </w:r>
      <w:r w:rsidRPr="00A13E2E">
        <w:rPr>
          <w:vertAlign w:val="superscript"/>
        </w:rPr>
        <w:t>th</w:t>
      </w:r>
      <w:r>
        <w:t xml:space="preserve"> Street S.E. </w:t>
      </w:r>
    </w:p>
    <w:p w:rsidR="00A13E2E" w:rsidRDefault="00A13E2E" w:rsidP="00A13E2E">
      <w:pPr>
        <w:pStyle w:val="NoSpacing"/>
      </w:pPr>
      <w:r>
        <w:t>Charleston, WV 25304</w:t>
      </w:r>
    </w:p>
    <w:p w:rsidR="00A13E2E" w:rsidRDefault="00A13E2E" w:rsidP="00A13E2E">
      <w:pPr>
        <w:pStyle w:val="NoSpacing"/>
      </w:pPr>
      <w:r>
        <w:t xml:space="preserve"> </w:t>
      </w:r>
      <w:hyperlink r:id="rId24" w:history="1">
        <w:r w:rsidRPr="00A13E2E">
          <w:rPr>
            <w:rStyle w:val="Hyperlink"/>
            <w:color w:val="0070C0"/>
            <w:u w:val="single"/>
            <w:bdr w:val="none" w:sz="0" w:space="0" w:color="auto"/>
          </w:rPr>
          <w:t>Daniel.T.Arnold@wv.gov</w:t>
        </w:r>
      </w:hyperlink>
      <w:r>
        <w:t xml:space="preserve">  </w:t>
      </w:r>
    </w:p>
    <w:p w:rsidR="00FA6E65" w:rsidRPr="009F6C3F" w:rsidRDefault="00A13E2E" w:rsidP="00A13E2E">
      <w:pPr>
        <w:pStyle w:val="NoSpacing"/>
      </w:pPr>
      <w:r>
        <w:t>304-926-0499 ext. 1341.</w:t>
      </w:r>
    </w:p>
    <w:sectPr w:rsidR="00FA6E65" w:rsidRPr="009F6C3F" w:rsidSect="005E725F">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360" w:footer="4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33D" w:rsidRDefault="00C6433D" w:rsidP="00866745">
      <w:pPr>
        <w:spacing w:after="0"/>
      </w:pPr>
      <w:r>
        <w:separator/>
      </w:r>
    </w:p>
  </w:endnote>
  <w:endnote w:type="continuationSeparator" w:id="0">
    <w:p w:rsidR="00C6433D" w:rsidRDefault="00C6433D" w:rsidP="0086674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43" w:rsidRDefault="002156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0178"/>
      <w:docPartObj>
        <w:docPartGallery w:val="Page Numbers (Bottom of Page)"/>
        <w:docPartUnique/>
      </w:docPartObj>
    </w:sdtPr>
    <w:sdtContent>
      <w:sdt>
        <w:sdtPr>
          <w:id w:val="565050477"/>
          <w:docPartObj>
            <w:docPartGallery w:val="Page Numbers (Top of Page)"/>
            <w:docPartUnique/>
          </w:docPartObj>
        </w:sdtPr>
        <w:sdtContent>
          <w:p w:rsidR="00202309" w:rsidRDefault="00202309">
            <w:pPr>
              <w:pStyle w:val="Footer"/>
              <w:jc w:val="center"/>
            </w:pPr>
            <w:r>
              <w:t xml:space="preserve">Page </w:t>
            </w:r>
            <w:r w:rsidR="00EA5650">
              <w:rPr>
                <w:b/>
                <w:szCs w:val="24"/>
              </w:rPr>
              <w:fldChar w:fldCharType="begin"/>
            </w:r>
            <w:r>
              <w:rPr>
                <w:b/>
              </w:rPr>
              <w:instrText xml:space="preserve"> PAGE </w:instrText>
            </w:r>
            <w:r w:rsidR="00EA5650">
              <w:rPr>
                <w:b/>
                <w:szCs w:val="24"/>
              </w:rPr>
              <w:fldChar w:fldCharType="separate"/>
            </w:r>
            <w:r w:rsidR="00215643">
              <w:rPr>
                <w:b/>
                <w:noProof/>
              </w:rPr>
              <w:t>25</w:t>
            </w:r>
            <w:r w:rsidR="00EA5650">
              <w:rPr>
                <w:b/>
                <w:szCs w:val="24"/>
              </w:rPr>
              <w:fldChar w:fldCharType="end"/>
            </w:r>
            <w:r>
              <w:t xml:space="preserve"> of </w:t>
            </w:r>
            <w:r w:rsidR="00EA5650">
              <w:rPr>
                <w:b/>
                <w:szCs w:val="24"/>
              </w:rPr>
              <w:fldChar w:fldCharType="begin"/>
            </w:r>
            <w:r>
              <w:rPr>
                <w:b/>
              </w:rPr>
              <w:instrText xml:space="preserve"> NUMPAGES  </w:instrText>
            </w:r>
            <w:r w:rsidR="00EA5650">
              <w:rPr>
                <w:b/>
                <w:szCs w:val="24"/>
              </w:rPr>
              <w:fldChar w:fldCharType="separate"/>
            </w:r>
            <w:r w:rsidR="00215643">
              <w:rPr>
                <w:b/>
                <w:noProof/>
              </w:rPr>
              <w:t>27</w:t>
            </w:r>
            <w:r w:rsidR="00EA5650">
              <w:rPr>
                <w:b/>
                <w:szCs w:val="24"/>
              </w:rPr>
              <w:fldChar w:fldCharType="end"/>
            </w:r>
          </w:p>
        </w:sdtContent>
      </w:sdt>
    </w:sdtContent>
  </w:sdt>
  <w:p w:rsidR="00202309" w:rsidRDefault="002023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43" w:rsidRDefault="002156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33D" w:rsidRDefault="00C6433D" w:rsidP="00866745">
      <w:pPr>
        <w:spacing w:after="0"/>
      </w:pPr>
      <w:r>
        <w:separator/>
      </w:r>
    </w:p>
  </w:footnote>
  <w:footnote w:type="continuationSeparator" w:id="0">
    <w:p w:rsidR="00C6433D" w:rsidRDefault="00C6433D" w:rsidP="0086674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43" w:rsidRDefault="002156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309" w:rsidRDefault="00202309" w:rsidP="00CE4A38">
    <w:pPr>
      <w:pStyle w:val="Header"/>
    </w:pPr>
    <w:r>
      <w:tab/>
      <w:t xml:space="preserve">   </w:t>
    </w:r>
    <w:r>
      <w:tab/>
      <w:t>WV DEP</w:t>
    </w:r>
  </w:p>
  <w:p w:rsidR="00202309" w:rsidRDefault="00202309" w:rsidP="005E725F">
    <w:pPr>
      <w:pStyle w:val="Header"/>
      <w:jc w:val="right"/>
    </w:pPr>
    <w:r>
      <w:t>Selenium analytical study</w:t>
    </w:r>
  </w:p>
  <w:p w:rsidR="00202309" w:rsidRDefault="00215643" w:rsidP="005E725F">
    <w:pPr>
      <w:pStyle w:val="Header"/>
      <w:jc w:val="right"/>
    </w:pPr>
    <w:r>
      <w:t>May</w:t>
    </w:r>
    <w:r w:rsidR="00202309">
      <w:t xml:space="preserve"> 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43" w:rsidRDefault="002156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AF7A5F"/>
    <w:rsid w:val="00040028"/>
    <w:rsid w:val="00045C96"/>
    <w:rsid w:val="00081216"/>
    <w:rsid w:val="000A1542"/>
    <w:rsid w:val="00113586"/>
    <w:rsid w:val="00115B37"/>
    <w:rsid w:val="001923D8"/>
    <w:rsid w:val="001C5A03"/>
    <w:rsid w:val="001E6D98"/>
    <w:rsid w:val="00202309"/>
    <w:rsid w:val="00215643"/>
    <w:rsid w:val="002310BB"/>
    <w:rsid w:val="00252CF8"/>
    <w:rsid w:val="00271D09"/>
    <w:rsid w:val="002A1D97"/>
    <w:rsid w:val="002E6D16"/>
    <w:rsid w:val="002F6BAB"/>
    <w:rsid w:val="0032392F"/>
    <w:rsid w:val="00324879"/>
    <w:rsid w:val="0034287A"/>
    <w:rsid w:val="00385A12"/>
    <w:rsid w:val="003A68FE"/>
    <w:rsid w:val="003C2C39"/>
    <w:rsid w:val="00400C50"/>
    <w:rsid w:val="00436D1A"/>
    <w:rsid w:val="00480531"/>
    <w:rsid w:val="004A23A7"/>
    <w:rsid w:val="004A6D05"/>
    <w:rsid w:val="00527265"/>
    <w:rsid w:val="00567EB4"/>
    <w:rsid w:val="005B01E4"/>
    <w:rsid w:val="005B4233"/>
    <w:rsid w:val="005B7C9D"/>
    <w:rsid w:val="005D058E"/>
    <w:rsid w:val="005E725F"/>
    <w:rsid w:val="00630179"/>
    <w:rsid w:val="00630402"/>
    <w:rsid w:val="006365D0"/>
    <w:rsid w:val="00682FB5"/>
    <w:rsid w:val="00690392"/>
    <w:rsid w:val="006A1127"/>
    <w:rsid w:val="006C5907"/>
    <w:rsid w:val="007407E5"/>
    <w:rsid w:val="00753402"/>
    <w:rsid w:val="00757DB5"/>
    <w:rsid w:val="00775229"/>
    <w:rsid w:val="00815C36"/>
    <w:rsid w:val="0086026A"/>
    <w:rsid w:val="00866745"/>
    <w:rsid w:val="00867DA4"/>
    <w:rsid w:val="008A3BC4"/>
    <w:rsid w:val="008B7AB4"/>
    <w:rsid w:val="008C1B87"/>
    <w:rsid w:val="00902DC1"/>
    <w:rsid w:val="0091471F"/>
    <w:rsid w:val="00917902"/>
    <w:rsid w:val="00970A15"/>
    <w:rsid w:val="0099111B"/>
    <w:rsid w:val="009947AC"/>
    <w:rsid w:val="009A48C9"/>
    <w:rsid w:val="009C0CED"/>
    <w:rsid w:val="009F6C3F"/>
    <w:rsid w:val="00A13E2E"/>
    <w:rsid w:val="00A837D3"/>
    <w:rsid w:val="00AE089D"/>
    <w:rsid w:val="00AE5758"/>
    <w:rsid w:val="00AF05BD"/>
    <w:rsid w:val="00AF7A5F"/>
    <w:rsid w:val="00B257E0"/>
    <w:rsid w:val="00B3084D"/>
    <w:rsid w:val="00B41DB8"/>
    <w:rsid w:val="00B424B7"/>
    <w:rsid w:val="00B463CA"/>
    <w:rsid w:val="00B53D74"/>
    <w:rsid w:val="00B84337"/>
    <w:rsid w:val="00BB03B7"/>
    <w:rsid w:val="00C15879"/>
    <w:rsid w:val="00C271F4"/>
    <w:rsid w:val="00C6433D"/>
    <w:rsid w:val="00C71448"/>
    <w:rsid w:val="00CB3929"/>
    <w:rsid w:val="00CE4A38"/>
    <w:rsid w:val="00CF436C"/>
    <w:rsid w:val="00D55F1D"/>
    <w:rsid w:val="00D77397"/>
    <w:rsid w:val="00D87FFC"/>
    <w:rsid w:val="00D902B6"/>
    <w:rsid w:val="00D961AC"/>
    <w:rsid w:val="00DC3108"/>
    <w:rsid w:val="00DE190A"/>
    <w:rsid w:val="00E47461"/>
    <w:rsid w:val="00E66C0F"/>
    <w:rsid w:val="00E76CBA"/>
    <w:rsid w:val="00EA00B8"/>
    <w:rsid w:val="00EA5650"/>
    <w:rsid w:val="00EB0561"/>
    <w:rsid w:val="00EE7512"/>
    <w:rsid w:val="00EF55FC"/>
    <w:rsid w:val="00F30B1D"/>
    <w:rsid w:val="00F3138F"/>
    <w:rsid w:val="00F4161B"/>
    <w:rsid w:val="00F47737"/>
    <w:rsid w:val="00F510DE"/>
    <w:rsid w:val="00F56C07"/>
    <w:rsid w:val="00F74294"/>
    <w:rsid w:val="00F81B51"/>
    <w:rsid w:val="00F943EA"/>
    <w:rsid w:val="00FA0E71"/>
    <w:rsid w:val="00FA6E65"/>
    <w:rsid w:val="00FB6F96"/>
    <w:rsid w:val="00FC6916"/>
    <w:rsid w:val="00FF7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F7A5F"/>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7A5F"/>
    <w:pPr>
      <w:spacing w:after="0" w:line="240" w:lineRule="auto"/>
    </w:pPr>
  </w:style>
  <w:style w:type="character" w:styleId="Hyperlink">
    <w:name w:val="Hyperlink"/>
    <w:basedOn w:val="DefaultParagraphFont"/>
    <w:uiPriority w:val="99"/>
    <w:unhideWhenUsed/>
    <w:rsid w:val="00A837D3"/>
    <w:rPr>
      <w:b w:val="0"/>
      <w:bCs w:val="0"/>
      <w:strike w:val="0"/>
      <w:dstrike w:val="0"/>
      <w:color w:val="AE4F0C"/>
      <w:u w:val="none"/>
      <w:effect w:val="none"/>
      <w:bdr w:val="none" w:sz="0" w:space="0" w:color="auto" w:frame="1"/>
    </w:rPr>
  </w:style>
  <w:style w:type="paragraph" w:styleId="BalloonText">
    <w:name w:val="Balloon Text"/>
    <w:basedOn w:val="Normal"/>
    <w:link w:val="BalloonTextChar"/>
    <w:uiPriority w:val="99"/>
    <w:semiHidden/>
    <w:unhideWhenUsed/>
    <w:rsid w:val="00A837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7D3"/>
    <w:rPr>
      <w:rFonts w:ascii="Tahoma" w:hAnsi="Tahoma" w:cs="Tahoma"/>
      <w:sz w:val="16"/>
      <w:szCs w:val="16"/>
    </w:rPr>
  </w:style>
  <w:style w:type="paragraph" w:styleId="Header">
    <w:name w:val="header"/>
    <w:basedOn w:val="Normal"/>
    <w:link w:val="HeaderChar"/>
    <w:uiPriority w:val="99"/>
    <w:semiHidden/>
    <w:unhideWhenUsed/>
    <w:rsid w:val="00866745"/>
    <w:pPr>
      <w:tabs>
        <w:tab w:val="center" w:pos="4680"/>
        <w:tab w:val="right" w:pos="9360"/>
      </w:tabs>
      <w:spacing w:after="0"/>
    </w:pPr>
  </w:style>
  <w:style w:type="character" w:customStyle="1" w:styleId="HeaderChar">
    <w:name w:val="Header Char"/>
    <w:basedOn w:val="DefaultParagraphFont"/>
    <w:link w:val="Header"/>
    <w:uiPriority w:val="99"/>
    <w:semiHidden/>
    <w:rsid w:val="00866745"/>
  </w:style>
  <w:style w:type="paragraph" w:styleId="Footer">
    <w:name w:val="footer"/>
    <w:basedOn w:val="Normal"/>
    <w:link w:val="FooterChar"/>
    <w:uiPriority w:val="99"/>
    <w:unhideWhenUsed/>
    <w:rsid w:val="00866745"/>
    <w:pPr>
      <w:tabs>
        <w:tab w:val="center" w:pos="4680"/>
        <w:tab w:val="right" w:pos="9360"/>
      </w:tabs>
      <w:spacing w:after="0"/>
    </w:pPr>
  </w:style>
  <w:style w:type="character" w:customStyle="1" w:styleId="FooterChar">
    <w:name w:val="Footer Char"/>
    <w:basedOn w:val="DefaultParagraphFont"/>
    <w:link w:val="Footer"/>
    <w:uiPriority w:val="99"/>
    <w:rsid w:val="00866745"/>
  </w:style>
</w:styles>
</file>

<file path=word/webSettings.xml><?xml version="1.0" encoding="utf-8"?>
<w:webSettings xmlns:r="http://schemas.openxmlformats.org/officeDocument/2006/relationships" xmlns:w="http://schemas.openxmlformats.org/wordprocessingml/2006/main">
  <w:divs>
    <w:div w:id="334578338">
      <w:bodyDiv w:val="1"/>
      <w:marLeft w:val="0"/>
      <w:marRight w:val="0"/>
      <w:marTop w:val="0"/>
      <w:marBottom w:val="0"/>
      <w:divBdr>
        <w:top w:val="none" w:sz="0" w:space="0" w:color="auto"/>
        <w:left w:val="none" w:sz="0" w:space="0" w:color="auto"/>
        <w:bottom w:val="none" w:sz="0" w:space="0" w:color="auto"/>
        <w:right w:val="none" w:sz="0" w:space="0" w:color="auto"/>
      </w:divBdr>
      <w:divsChild>
        <w:div w:id="1648627513">
          <w:marLeft w:val="0"/>
          <w:marRight w:val="0"/>
          <w:marTop w:val="0"/>
          <w:marBottom w:val="0"/>
          <w:divBdr>
            <w:top w:val="none" w:sz="0" w:space="0" w:color="auto"/>
            <w:left w:val="none" w:sz="0" w:space="0" w:color="auto"/>
            <w:bottom w:val="none" w:sz="0" w:space="0" w:color="auto"/>
            <w:right w:val="none" w:sz="0" w:space="0" w:color="auto"/>
          </w:divBdr>
          <w:divsChild>
            <w:div w:id="46343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8119">
      <w:bodyDiv w:val="1"/>
      <w:marLeft w:val="0"/>
      <w:marRight w:val="0"/>
      <w:marTop w:val="0"/>
      <w:marBottom w:val="0"/>
      <w:divBdr>
        <w:top w:val="none" w:sz="0" w:space="0" w:color="auto"/>
        <w:left w:val="none" w:sz="0" w:space="0" w:color="auto"/>
        <w:bottom w:val="none" w:sz="0" w:space="0" w:color="auto"/>
        <w:right w:val="none" w:sz="0" w:space="0" w:color="auto"/>
      </w:divBdr>
    </w:div>
    <w:div w:id="441849879">
      <w:bodyDiv w:val="1"/>
      <w:marLeft w:val="0"/>
      <w:marRight w:val="0"/>
      <w:marTop w:val="0"/>
      <w:marBottom w:val="0"/>
      <w:divBdr>
        <w:top w:val="none" w:sz="0" w:space="0" w:color="auto"/>
        <w:left w:val="none" w:sz="0" w:space="0" w:color="auto"/>
        <w:bottom w:val="none" w:sz="0" w:space="0" w:color="auto"/>
        <w:right w:val="none" w:sz="0" w:space="0" w:color="auto"/>
      </w:divBdr>
    </w:div>
    <w:div w:id="533347863">
      <w:bodyDiv w:val="1"/>
      <w:marLeft w:val="0"/>
      <w:marRight w:val="0"/>
      <w:marTop w:val="0"/>
      <w:marBottom w:val="0"/>
      <w:divBdr>
        <w:top w:val="none" w:sz="0" w:space="0" w:color="auto"/>
        <w:left w:val="none" w:sz="0" w:space="0" w:color="auto"/>
        <w:bottom w:val="none" w:sz="0" w:space="0" w:color="auto"/>
        <w:right w:val="none" w:sz="0" w:space="0" w:color="auto"/>
      </w:divBdr>
    </w:div>
    <w:div w:id="599603637">
      <w:bodyDiv w:val="1"/>
      <w:marLeft w:val="0"/>
      <w:marRight w:val="0"/>
      <w:marTop w:val="0"/>
      <w:marBottom w:val="0"/>
      <w:divBdr>
        <w:top w:val="none" w:sz="0" w:space="0" w:color="auto"/>
        <w:left w:val="none" w:sz="0" w:space="0" w:color="auto"/>
        <w:bottom w:val="none" w:sz="0" w:space="0" w:color="auto"/>
        <w:right w:val="none" w:sz="0" w:space="0" w:color="auto"/>
      </w:divBdr>
    </w:div>
    <w:div w:id="778572507">
      <w:bodyDiv w:val="1"/>
      <w:marLeft w:val="0"/>
      <w:marRight w:val="0"/>
      <w:marTop w:val="0"/>
      <w:marBottom w:val="0"/>
      <w:divBdr>
        <w:top w:val="none" w:sz="0" w:space="0" w:color="auto"/>
        <w:left w:val="none" w:sz="0" w:space="0" w:color="auto"/>
        <w:bottom w:val="none" w:sz="0" w:space="0" w:color="auto"/>
        <w:right w:val="none" w:sz="0" w:space="0" w:color="auto"/>
      </w:divBdr>
    </w:div>
    <w:div w:id="941886554">
      <w:bodyDiv w:val="1"/>
      <w:marLeft w:val="0"/>
      <w:marRight w:val="0"/>
      <w:marTop w:val="0"/>
      <w:marBottom w:val="0"/>
      <w:divBdr>
        <w:top w:val="none" w:sz="0" w:space="0" w:color="auto"/>
        <w:left w:val="none" w:sz="0" w:space="0" w:color="auto"/>
        <w:bottom w:val="none" w:sz="0" w:space="0" w:color="auto"/>
        <w:right w:val="none" w:sz="0" w:space="0" w:color="auto"/>
      </w:divBdr>
    </w:div>
    <w:div w:id="1064062024">
      <w:bodyDiv w:val="1"/>
      <w:marLeft w:val="0"/>
      <w:marRight w:val="0"/>
      <w:marTop w:val="0"/>
      <w:marBottom w:val="0"/>
      <w:divBdr>
        <w:top w:val="none" w:sz="0" w:space="0" w:color="auto"/>
        <w:left w:val="none" w:sz="0" w:space="0" w:color="auto"/>
        <w:bottom w:val="none" w:sz="0" w:space="0" w:color="auto"/>
        <w:right w:val="none" w:sz="0" w:space="0" w:color="auto"/>
      </w:divBdr>
    </w:div>
    <w:div w:id="1212616968">
      <w:bodyDiv w:val="1"/>
      <w:marLeft w:val="0"/>
      <w:marRight w:val="0"/>
      <w:marTop w:val="0"/>
      <w:marBottom w:val="0"/>
      <w:divBdr>
        <w:top w:val="none" w:sz="0" w:space="0" w:color="auto"/>
        <w:left w:val="none" w:sz="0" w:space="0" w:color="auto"/>
        <w:bottom w:val="none" w:sz="0" w:space="0" w:color="auto"/>
        <w:right w:val="none" w:sz="0" w:space="0" w:color="auto"/>
      </w:divBdr>
    </w:div>
    <w:div w:id="1324120631">
      <w:bodyDiv w:val="1"/>
      <w:marLeft w:val="0"/>
      <w:marRight w:val="0"/>
      <w:marTop w:val="0"/>
      <w:marBottom w:val="0"/>
      <w:divBdr>
        <w:top w:val="none" w:sz="0" w:space="0" w:color="auto"/>
        <w:left w:val="none" w:sz="0" w:space="0" w:color="auto"/>
        <w:bottom w:val="none" w:sz="0" w:space="0" w:color="auto"/>
        <w:right w:val="none" w:sz="0" w:space="0" w:color="auto"/>
      </w:divBdr>
    </w:div>
    <w:div w:id="1372338606">
      <w:bodyDiv w:val="1"/>
      <w:marLeft w:val="0"/>
      <w:marRight w:val="0"/>
      <w:marTop w:val="0"/>
      <w:marBottom w:val="0"/>
      <w:divBdr>
        <w:top w:val="none" w:sz="0" w:space="0" w:color="auto"/>
        <w:left w:val="none" w:sz="0" w:space="0" w:color="auto"/>
        <w:bottom w:val="none" w:sz="0" w:space="0" w:color="auto"/>
        <w:right w:val="none" w:sz="0" w:space="0" w:color="auto"/>
      </w:divBdr>
    </w:div>
    <w:div w:id="1665930616">
      <w:bodyDiv w:val="1"/>
      <w:marLeft w:val="0"/>
      <w:marRight w:val="0"/>
      <w:marTop w:val="0"/>
      <w:marBottom w:val="0"/>
      <w:divBdr>
        <w:top w:val="none" w:sz="0" w:space="0" w:color="auto"/>
        <w:left w:val="none" w:sz="0" w:space="0" w:color="auto"/>
        <w:bottom w:val="none" w:sz="0" w:space="0" w:color="auto"/>
        <w:right w:val="none" w:sz="0" w:space="0" w:color="auto"/>
      </w:divBdr>
      <w:divsChild>
        <w:div w:id="738359253">
          <w:marLeft w:val="0"/>
          <w:marRight w:val="0"/>
          <w:marTop w:val="0"/>
          <w:marBottom w:val="0"/>
          <w:divBdr>
            <w:top w:val="none" w:sz="0" w:space="0" w:color="auto"/>
            <w:left w:val="none" w:sz="0" w:space="0" w:color="auto"/>
            <w:bottom w:val="none" w:sz="0" w:space="0" w:color="auto"/>
            <w:right w:val="none" w:sz="0" w:space="0" w:color="auto"/>
          </w:divBdr>
          <w:divsChild>
            <w:div w:id="10592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6237">
      <w:bodyDiv w:val="1"/>
      <w:marLeft w:val="0"/>
      <w:marRight w:val="0"/>
      <w:marTop w:val="0"/>
      <w:marBottom w:val="0"/>
      <w:divBdr>
        <w:top w:val="none" w:sz="0" w:space="0" w:color="auto"/>
        <w:left w:val="none" w:sz="0" w:space="0" w:color="auto"/>
        <w:bottom w:val="none" w:sz="0" w:space="0" w:color="auto"/>
        <w:right w:val="none" w:sz="0" w:space="0" w:color="auto"/>
      </w:divBdr>
    </w:div>
    <w:div w:id="1727878161">
      <w:bodyDiv w:val="1"/>
      <w:marLeft w:val="0"/>
      <w:marRight w:val="0"/>
      <w:marTop w:val="0"/>
      <w:marBottom w:val="0"/>
      <w:divBdr>
        <w:top w:val="none" w:sz="0" w:space="0" w:color="auto"/>
        <w:left w:val="none" w:sz="0" w:space="0" w:color="auto"/>
        <w:bottom w:val="none" w:sz="0" w:space="0" w:color="auto"/>
        <w:right w:val="none" w:sz="0" w:space="0" w:color="auto"/>
      </w:divBdr>
    </w:div>
    <w:div w:id="1746878632">
      <w:bodyDiv w:val="1"/>
      <w:marLeft w:val="0"/>
      <w:marRight w:val="0"/>
      <w:marTop w:val="0"/>
      <w:marBottom w:val="0"/>
      <w:divBdr>
        <w:top w:val="none" w:sz="0" w:space="0" w:color="auto"/>
        <w:left w:val="none" w:sz="0" w:space="0" w:color="auto"/>
        <w:bottom w:val="none" w:sz="0" w:space="0" w:color="auto"/>
        <w:right w:val="none" w:sz="0" w:space="0" w:color="auto"/>
      </w:divBdr>
    </w:div>
    <w:div w:id="1942376239">
      <w:bodyDiv w:val="1"/>
      <w:marLeft w:val="0"/>
      <w:marRight w:val="0"/>
      <w:marTop w:val="0"/>
      <w:marBottom w:val="0"/>
      <w:divBdr>
        <w:top w:val="none" w:sz="0" w:space="0" w:color="auto"/>
        <w:left w:val="none" w:sz="0" w:space="0" w:color="auto"/>
        <w:bottom w:val="none" w:sz="0" w:space="0" w:color="auto"/>
        <w:right w:val="none" w:sz="0" w:space="0" w:color="auto"/>
      </w:divBdr>
    </w:div>
    <w:div w:id="1989286940">
      <w:bodyDiv w:val="1"/>
      <w:marLeft w:val="0"/>
      <w:marRight w:val="0"/>
      <w:marTop w:val="0"/>
      <w:marBottom w:val="0"/>
      <w:divBdr>
        <w:top w:val="none" w:sz="0" w:space="0" w:color="auto"/>
        <w:left w:val="none" w:sz="0" w:space="0" w:color="auto"/>
        <w:bottom w:val="none" w:sz="0" w:space="0" w:color="auto"/>
        <w:right w:val="none" w:sz="0" w:space="0" w:color="auto"/>
      </w:divBdr>
    </w:div>
    <w:div w:id="202396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chart" Target="charts/chart10.xml"/><Relationship Id="rId34"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eader" Target="header1.xm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elac-institute.org/PT.php" TargetMode="External"/><Relationship Id="rId24" Type="http://schemas.openxmlformats.org/officeDocument/2006/relationships/hyperlink" Target="mailto:Daniel.T.Arnold@wv.gov"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footer" Target="footer2.xml"/><Relationship Id="rId10" Type="http://schemas.openxmlformats.org/officeDocument/2006/relationships/hyperlink" Target="http://www.a2la.org" TargetMode="External"/><Relationship Id="rId19" Type="http://schemas.openxmlformats.org/officeDocument/2006/relationships/chart" Target="charts/chart8.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customXml" Target="../customXml/item4.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008291\My%20Documents\Flash%20Drive%20files\Pat%20Campbell\Se%20Phase%20I%20data%20(Recovered).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A008291\My%20Documents\Flash%20Drive%20files\Pat%20Campbell\Se%20Phase%20IV%20data%205&#181;g.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A008291\My%20Documents\Flash%20Drive%20files\Pat%20Campbell\Se%20Phase%20IV%20data%2020&#181;g.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A008291\My%20Documents\Flash%20Drive%20files\Pat%20Campbell\Se%20Phase%20IV%20data%2020&#181;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008291\My%20Documents\Flash%20Drive%20files\Pat%20Campbell\Se%20Phase%20I%20data%20(Recover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008291\My%20Documents\Flash%20Drive%20files\Pat%20Campbell\Se%20Phase%20II%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008291\My%20Documents\Flash%20Drive%20files\Pat%20Campbell\Se%20Phase%20II%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008291\My%20Documents\Flash%20Drive%20files\Pat%20Campbell\Se%20Phase%20III%20data%205&#181;g.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A008291\My%20Documents\Flash%20Drive%20files\Pat%20Campbell\Se%20Phase%20III%20data%205&#181;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A008291\My%20Documents\Flash%20Drive%20files\Pat%20Campbell\Se%20Phase%20III%20data%2020&#181;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A008291\My%20Documents\Flash%20Drive%20files\Pat%20Campbell\Se%20Phase%20III%20data%2020&#181;g.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A008291\My%20Documents\Flash%20Drive%20files\Pat%20Campbell\Se%20Phase%20IV%20data%205&#181;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a:pPr>
            <a:r>
              <a:rPr lang="en-US"/>
              <a:t>Selenium</a:t>
            </a:r>
            <a:r>
              <a:rPr lang="en-US" baseline="0"/>
              <a:t> Phase I Results, 5 µg/L</a:t>
            </a:r>
          </a:p>
        </c:rich>
      </c:tx>
      <c:layout>
        <c:manualLayout>
          <c:xMode val="edge"/>
          <c:yMode val="edge"/>
          <c:x val="0.22099720707988435"/>
          <c:y val="2.6229413630988428E-2"/>
        </c:manualLayout>
      </c:layout>
    </c:title>
    <c:plotArea>
      <c:layout/>
      <c:barChart>
        <c:barDir val="col"/>
        <c:grouping val="clustered"/>
        <c:ser>
          <c:idx val="0"/>
          <c:order val="0"/>
          <c:dPt>
            <c:idx val="0"/>
            <c:spPr>
              <a:solidFill>
                <a:srgbClr val="FFFF00"/>
              </a:solidFill>
            </c:spPr>
          </c:dPt>
          <c:dPt>
            <c:idx val="1"/>
            <c:spPr>
              <a:solidFill>
                <a:srgbClr val="FFFF00"/>
              </a:solidFill>
            </c:spPr>
          </c:dPt>
          <c:dPt>
            <c:idx val="2"/>
            <c:spPr>
              <a:solidFill>
                <a:srgbClr val="FFFF00"/>
              </a:solidFill>
            </c:spPr>
          </c:dPt>
          <c:dPt>
            <c:idx val="3"/>
            <c:spPr>
              <a:solidFill>
                <a:srgbClr val="FFFF00"/>
              </a:solidFill>
            </c:spPr>
          </c:dPt>
          <c:dPt>
            <c:idx val="4"/>
            <c:spPr>
              <a:solidFill>
                <a:srgbClr val="FFFF00"/>
              </a:solidFill>
            </c:spPr>
          </c:dPt>
          <c:dPt>
            <c:idx val="5"/>
            <c:spPr>
              <a:solidFill>
                <a:srgbClr val="FFFF00"/>
              </a:solidFill>
            </c:spPr>
          </c:dPt>
          <c:dPt>
            <c:idx val="6"/>
            <c:spPr>
              <a:solidFill>
                <a:srgbClr val="FFFF00"/>
              </a:solidFill>
            </c:spPr>
          </c:dPt>
          <c:dPt>
            <c:idx val="7"/>
            <c:spPr>
              <a:solidFill>
                <a:srgbClr val="FFFF00"/>
              </a:solidFill>
            </c:spPr>
          </c:dPt>
          <c:dPt>
            <c:idx val="8"/>
            <c:spPr>
              <a:solidFill>
                <a:srgbClr val="FFFF00"/>
              </a:solidFill>
            </c:spPr>
          </c:dPt>
          <c:dPt>
            <c:idx val="9"/>
            <c:spPr>
              <a:solidFill>
                <a:srgbClr val="00B050"/>
              </a:solidFill>
            </c:spPr>
          </c:dPt>
          <c:dPt>
            <c:idx val="10"/>
            <c:spPr>
              <a:solidFill>
                <a:srgbClr val="00B050"/>
              </a:solidFill>
            </c:spPr>
          </c:dPt>
          <c:dPt>
            <c:idx val="11"/>
            <c:spPr>
              <a:solidFill>
                <a:srgbClr val="00B050"/>
              </a:solidFill>
            </c:spPr>
          </c:dPt>
          <c:dPt>
            <c:idx val="12"/>
            <c:spPr>
              <a:solidFill>
                <a:srgbClr val="7030A0"/>
              </a:solidFill>
            </c:spPr>
          </c:dPt>
          <c:dPt>
            <c:idx val="13"/>
            <c:spPr>
              <a:solidFill>
                <a:srgbClr val="FF0000"/>
              </a:solidFill>
            </c:spPr>
          </c:dPt>
          <c:dPt>
            <c:idx val="14"/>
            <c:spPr>
              <a:solidFill>
                <a:srgbClr val="FF0000"/>
              </a:solidFill>
            </c:spPr>
          </c:dPt>
          <c:dPt>
            <c:idx val="15"/>
            <c:spPr>
              <a:solidFill>
                <a:srgbClr val="FFFF00"/>
              </a:solidFill>
            </c:spPr>
          </c:dPt>
          <c:dPt>
            <c:idx val="16"/>
            <c:spPr>
              <a:solidFill>
                <a:srgbClr val="00B050"/>
              </a:solidFill>
            </c:spPr>
          </c:dPt>
          <c:dPt>
            <c:idx val="17"/>
            <c:spPr>
              <a:solidFill>
                <a:srgbClr val="7030A0"/>
              </a:solidFill>
            </c:spPr>
          </c:dPt>
          <c:dLbls>
            <c:dLbl>
              <c:idx val="0"/>
              <c:showVal val="1"/>
            </c:dLbl>
            <c:dLbl>
              <c:idx val="1"/>
              <c:showVal val="1"/>
            </c:dLbl>
            <c:dLbl>
              <c:idx val="2"/>
              <c:showVal val="1"/>
            </c:dLbl>
            <c:dLbl>
              <c:idx val="3"/>
              <c:showVal val="1"/>
            </c:dLbl>
            <c:dLbl>
              <c:idx val="4"/>
              <c:showVal val="1"/>
            </c:dLbl>
            <c:dLbl>
              <c:idx val="5"/>
              <c:showVal val="1"/>
            </c:dLbl>
            <c:dLbl>
              <c:idx val="6"/>
              <c:showVal val="1"/>
            </c:dLbl>
            <c:dLbl>
              <c:idx val="7"/>
              <c:showVal val="1"/>
            </c:dLbl>
            <c:dLbl>
              <c:idx val="8"/>
              <c:showVal val="1"/>
            </c:dLbl>
            <c:dLbl>
              <c:idx val="9"/>
              <c:showVal val="1"/>
            </c:dLbl>
            <c:dLbl>
              <c:idx val="10"/>
              <c:showVal val="1"/>
            </c:dLbl>
            <c:dLbl>
              <c:idx val="11"/>
              <c:showVal val="1"/>
            </c:dLbl>
            <c:dLbl>
              <c:idx val="12"/>
              <c:showVal val="1"/>
            </c:dLbl>
            <c:dLbl>
              <c:idx val="13"/>
              <c:showVal val="1"/>
            </c:dLbl>
            <c:dLbl>
              <c:idx val="14"/>
              <c:showVal val="1"/>
            </c:dLbl>
            <c:dLbl>
              <c:idx val="15"/>
              <c:showVal val="1"/>
            </c:dLbl>
            <c:dLbl>
              <c:idx val="16"/>
              <c:showVal val="1"/>
            </c:dLbl>
            <c:dLbl>
              <c:idx val="17"/>
              <c:showVal val="1"/>
            </c:dLbl>
            <c:delete val="1"/>
          </c:dLbls>
          <c:cat>
            <c:strRef>
              <c:f>'Data Phase I'!$A$6:$A$23</c:f>
              <c:strCache>
                <c:ptCount val="18"/>
                <c:pt idx="0">
                  <c:v>Appalachian Laboratories</c:v>
                </c:pt>
                <c:pt idx="1">
                  <c:v>Appalachian States</c:v>
                </c:pt>
                <c:pt idx="2">
                  <c:v>Standard Labs (NEST)</c:v>
                </c:pt>
                <c:pt idx="3">
                  <c:v>REI Consultants</c:v>
                </c:pt>
                <c:pt idx="4">
                  <c:v>Sturm Environmental</c:v>
                </c:pt>
                <c:pt idx="5">
                  <c:v>Standard Labs (Charleston)</c:v>
                </c:pt>
                <c:pt idx="6">
                  <c:v>Acculab</c:v>
                </c:pt>
                <c:pt idx="7">
                  <c:v>Compliance Monitoring</c:v>
                </c:pt>
                <c:pt idx="8">
                  <c:v>SGS</c:v>
                </c:pt>
                <c:pt idx="9">
                  <c:v>REI Consultants</c:v>
                </c:pt>
                <c:pt idx="10">
                  <c:v>American Elec. Power</c:v>
                </c:pt>
                <c:pt idx="11">
                  <c:v>Analabs</c:v>
                </c:pt>
                <c:pt idx="12">
                  <c:v>Tra-Det</c:v>
                </c:pt>
                <c:pt idx="14">
                  <c:v>Average, All data</c:v>
                </c:pt>
                <c:pt idx="15">
                  <c:v>Average, GFAA</c:v>
                </c:pt>
                <c:pt idx="16">
                  <c:v>Average, ICP/MS</c:v>
                </c:pt>
                <c:pt idx="17">
                  <c:v>Average, Hydride</c:v>
                </c:pt>
              </c:strCache>
            </c:strRef>
          </c:cat>
          <c:val>
            <c:numRef>
              <c:f>'Data Phase I'!$C$6:$C$23</c:f>
              <c:numCache>
                <c:formatCode>General</c:formatCode>
                <c:ptCount val="18"/>
                <c:pt idx="0">
                  <c:v>4.7</c:v>
                </c:pt>
                <c:pt idx="1">
                  <c:v>5.0999999999999996</c:v>
                </c:pt>
                <c:pt idx="2">
                  <c:v>4.5599999999999996</c:v>
                </c:pt>
                <c:pt idx="3">
                  <c:v>4.4000000000000004</c:v>
                </c:pt>
                <c:pt idx="4">
                  <c:v>4.37</c:v>
                </c:pt>
                <c:pt idx="5">
                  <c:v>5.0199999999999996</c:v>
                </c:pt>
                <c:pt idx="6">
                  <c:v>4.7</c:v>
                </c:pt>
                <c:pt idx="7">
                  <c:v>5.95</c:v>
                </c:pt>
                <c:pt idx="8">
                  <c:v>4.7</c:v>
                </c:pt>
                <c:pt idx="9">
                  <c:v>4.5199999999999996</c:v>
                </c:pt>
                <c:pt idx="10">
                  <c:v>4.8</c:v>
                </c:pt>
                <c:pt idx="11">
                  <c:v>5.3199999999999985</c:v>
                </c:pt>
                <c:pt idx="12">
                  <c:v>3.9</c:v>
                </c:pt>
                <c:pt idx="14" formatCode="0.0">
                  <c:v>4.8450000000000006</c:v>
                </c:pt>
                <c:pt idx="15" formatCode="0.0">
                  <c:v>4.8333333333333597</c:v>
                </c:pt>
                <c:pt idx="16">
                  <c:v>5.0600000000000005</c:v>
                </c:pt>
                <c:pt idx="17">
                  <c:v>3.9</c:v>
                </c:pt>
              </c:numCache>
            </c:numRef>
          </c:val>
        </c:ser>
        <c:axId val="121899264"/>
        <c:axId val="121901056"/>
      </c:barChart>
      <c:catAx>
        <c:axId val="121899264"/>
        <c:scaling>
          <c:orientation val="minMax"/>
        </c:scaling>
        <c:axPos val="b"/>
        <c:tickLblPos val="nextTo"/>
        <c:crossAx val="121901056"/>
        <c:crosses val="autoZero"/>
        <c:auto val="1"/>
        <c:lblAlgn val="ctr"/>
        <c:lblOffset val="100"/>
        <c:tickLblSkip val="1"/>
      </c:catAx>
      <c:valAx>
        <c:axId val="121901056"/>
        <c:scaling>
          <c:orientation val="minMax"/>
        </c:scaling>
        <c:axPos val="l"/>
        <c:majorGridlines/>
        <c:title>
          <c:tx>
            <c:rich>
              <a:bodyPr rot="0" vert="horz"/>
              <a:lstStyle/>
              <a:p>
                <a:pPr>
                  <a:defRPr/>
                </a:pPr>
                <a:r>
                  <a:rPr lang="en-US"/>
                  <a:t>µg/L</a:t>
                </a:r>
              </a:p>
            </c:rich>
          </c:tx>
        </c:title>
        <c:numFmt formatCode="General" sourceLinked="1"/>
        <c:tickLblPos val="nextTo"/>
        <c:crossAx val="121899264"/>
        <c:crosses val="autoZero"/>
        <c:crossBetween val="between"/>
      </c:valAx>
    </c:plotArea>
    <c:plotVisOnly val="1"/>
  </c:chart>
  <c:spPr>
    <a:ln w="19050" cap="rnd">
      <a:solidFill>
        <a:srgbClr val="00B050"/>
      </a:solidFill>
    </a:ln>
    <a:effectLst>
      <a:innerShdw blurRad="63500" dist="50800" dir="13500000">
        <a:prstClr val="black">
          <a:alpha val="50000"/>
        </a:prstClr>
      </a:inn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a:pPr>
            <a:r>
              <a:rPr lang="en-US"/>
              <a:t>Selenium</a:t>
            </a:r>
            <a:r>
              <a:rPr lang="en-US" baseline="0"/>
              <a:t> Study Phase IV % Recovery   </a:t>
            </a:r>
            <a:endParaRPr lang="en-US"/>
          </a:p>
        </c:rich>
      </c:tx>
      <c:layout>
        <c:manualLayout>
          <c:xMode val="edge"/>
          <c:yMode val="edge"/>
          <c:x val="0.31346502312935404"/>
          <c:y val="2.0099653527211242E-2"/>
        </c:manualLayout>
      </c:layout>
    </c:title>
    <c:plotArea>
      <c:layout/>
      <c:barChart>
        <c:barDir val="col"/>
        <c:grouping val="clustered"/>
        <c:ser>
          <c:idx val="0"/>
          <c:order val="0"/>
          <c:tx>
            <c:strRef>
              <c:f>'Phase IV data'!$F$5</c:f>
              <c:strCache>
                <c:ptCount val="1"/>
                <c:pt idx="0">
                  <c:v>% Rec.</c:v>
                </c:pt>
              </c:strCache>
            </c:strRef>
          </c:tx>
          <c:spPr>
            <a:solidFill>
              <a:srgbClr val="FFFF00"/>
            </a:solidFill>
          </c:spPr>
          <c:dPt>
            <c:idx val="7"/>
            <c:spPr>
              <a:solidFill>
                <a:srgbClr val="00B050"/>
              </a:solidFill>
            </c:spPr>
          </c:dPt>
          <c:dPt>
            <c:idx val="8"/>
            <c:spPr>
              <a:solidFill>
                <a:srgbClr val="7030A0"/>
              </a:solidFill>
            </c:spPr>
          </c:dPt>
          <c:dPt>
            <c:idx val="9"/>
            <c:spPr>
              <a:solidFill>
                <a:srgbClr val="7030A0"/>
              </a:solidFill>
            </c:spPr>
          </c:dPt>
          <c:dPt>
            <c:idx val="10"/>
            <c:spPr>
              <a:solidFill>
                <a:srgbClr val="00B050"/>
              </a:solidFill>
            </c:spPr>
          </c:dPt>
          <c:dPt>
            <c:idx val="11"/>
            <c:spPr>
              <a:solidFill>
                <a:srgbClr val="0070C0"/>
              </a:solidFill>
            </c:spPr>
          </c:dPt>
          <c:dPt>
            <c:idx val="13"/>
            <c:spPr>
              <a:solidFill>
                <a:srgbClr val="FF0000"/>
              </a:solidFill>
            </c:spPr>
          </c:dPt>
          <c:dPt>
            <c:idx val="15"/>
            <c:spPr>
              <a:solidFill>
                <a:srgbClr val="00B050"/>
              </a:solidFill>
            </c:spPr>
          </c:dPt>
          <c:dPt>
            <c:idx val="16"/>
            <c:spPr>
              <a:solidFill>
                <a:srgbClr val="7030A0"/>
              </a:solidFill>
            </c:spPr>
          </c:dPt>
          <c:dLbls>
            <c:dLbl>
              <c:idx val="0"/>
              <c:spPr/>
              <c:txPr>
                <a:bodyPr/>
                <a:lstStyle/>
                <a:p>
                  <a:pPr>
                    <a:defRPr/>
                  </a:pPr>
                  <a:endParaRPr lang="en-US"/>
                </a:p>
              </c:txPr>
              <c:showVal val="1"/>
            </c:dLbl>
            <c:dLbl>
              <c:idx val="1"/>
              <c:spPr/>
              <c:txPr>
                <a:bodyPr/>
                <a:lstStyle/>
                <a:p>
                  <a:pPr>
                    <a:defRPr/>
                  </a:pPr>
                  <a:endParaRPr lang="en-US"/>
                </a:p>
              </c:txPr>
              <c:showVal val="1"/>
            </c:dLbl>
            <c:dLbl>
              <c:idx val="2"/>
              <c:spPr/>
              <c:txPr>
                <a:bodyPr/>
                <a:lstStyle/>
                <a:p>
                  <a:pPr>
                    <a:defRPr/>
                  </a:pPr>
                  <a:endParaRPr lang="en-US"/>
                </a:p>
              </c:txPr>
              <c:showVal val="1"/>
            </c:dLbl>
            <c:dLbl>
              <c:idx val="3"/>
              <c:spPr/>
              <c:txPr>
                <a:bodyPr/>
                <a:lstStyle/>
                <a:p>
                  <a:pPr>
                    <a:defRPr/>
                  </a:pPr>
                  <a:endParaRPr lang="en-US"/>
                </a:p>
              </c:txPr>
              <c:showVal val="1"/>
            </c:dLbl>
            <c:dLbl>
              <c:idx val="4"/>
              <c:spPr/>
              <c:txPr>
                <a:bodyPr/>
                <a:lstStyle/>
                <a:p>
                  <a:pPr>
                    <a:defRPr/>
                  </a:pPr>
                  <a:endParaRPr lang="en-US"/>
                </a:p>
              </c:txPr>
              <c:showVal val="1"/>
            </c:dLbl>
            <c:dLbl>
              <c:idx val="5"/>
              <c:spPr/>
              <c:txPr>
                <a:bodyPr/>
                <a:lstStyle/>
                <a:p>
                  <a:pPr>
                    <a:defRPr/>
                  </a:pPr>
                  <a:endParaRPr lang="en-US"/>
                </a:p>
              </c:txPr>
              <c:showVal val="1"/>
            </c:dLbl>
            <c:dLbl>
              <c:idx val="6"/>
              <c:spPr/>
              <c:txPr>
                <a:bodyPr/>
                <a:lstStyle/>
                <a:p>
                  <a:pPr>
                    <a:defRPr/>
                  </a:pPr>
                  <a:endParaRPr lang="en-US"/>
                </a:p>
              </c:txPr>
              <c:showVal val="1"/>
            </c:dLbl>
            <c:dLbl>
              <c:idx val="7"/>
              <c:spPr/>
              <c:txPr>
                <a:bodyPr/>
                <a:lstStyle/>
                <a:p>
                  <a:pPr>
                    <a:defRPr/>
                  </a:pPr>
                  <a:endParaRPr lang="en-US"/>
                </a:p>
              </c:txPr>
              <c:showVal val="1"/>
            </c:dLbl>
            <c:dLbl>
              <c:idx val="8"/>
              <c:spPr/>
              <c:txPr>
                <a:bodyPr/>
                <a:lstStyle/>
                <a:p>
                  <a:pPr>
                    <a:defRPr/>
                  </a:pPr>
                  <a:endParaRPr lang="en-US"/>
                </a:p>
              </c:txPr>
              <c:showVal val="1"/>
            </c:dLbl>
            <c:dLbl>
              <c:idx val="9"/>
              <c:spPr/>
              <c:txPr>
                <a:bodyPr/>
                <a:lstStyle/>
                <a:p>
                  <a:pPr>
                    <a:defRPr/>
                  </a:pPr>
                  <a:endParaRPr lang="en-US"/>
                </a:p>
              </c:txPr>
              <c:showVal val="1"/>
            </c:dLbl>
            <c:dLbl>
              <c:idx val="10"/>
              <c:spPr/>
              <c:txPr>
                <a:bodyPr/>
                <a:lstStyle/>
                <a:p>
                  <a:pPr>
                    <a:defRPr/>
                  </a:pPr>
                  <a:endParaRPr lang="en-US"/>
                </a:p>
              </c:txPr>
              <c:showVal val="1"/>
            </c:dLbl>
            <c:dLbl>
              <c:idx val="11"/>
              <c:spPr/>
              <c:txPr>
                <a:bodyPr/>
                <a:lstStyle/>
                <a:p>
                  <a:pPr>
                    <a:defRPr/>
                  </a:pPr>
                  <a:endParaRPr lang="en-US"/>
                </a:p>
              </c:txPr>
              <c:showVal val="1"/>
            </c:dLbl>
            <c:dLbl>
              <c:idx val="12"/>
              <c:spPr/>
              <c:txPr>
                <a:bodyPr/>
                <a:lstStyle/>
                <a:p>
                  <a:pPr>
                    <a:defRPr/>
                  </a:pPr>
                  <a:endParaRPr lang="en-US"/>
                </a:p>
              </c:txPr>
              <c:showVal val="1"/>
            </c:dLbl>
            <c:dLbl>
              <c:idx val="13"/>
              <c:showVal val="1"/>
            </c:dLbl>
            <c:dLbl>
              <c:idx val="14"/>
              <c:showVal val="1"/>
            </c:dLbl>
            <c:dLbl>
              <c:idx val="15"/>
              <c:showVal val="1"/>
            </c:dLbl>
            <c:dLbl>
              <c:idx val="16"/>
              <c:showVal val="1"/>
            </c:dLbl>
            <c:delete val="1"/>
          </c:dLbls>
          <c:cat>
            <c:strRef>
              <c:f>'Phase IV data'!$A$6:$A$22</c:f>
              <c:strCache>
                <c:ptCount val="17"/>
                <c:pt idx="0">
                  <c:v>REI Consultants</c:v>
                </c:pt>
                <c:pt idx="1">
                  <c:v>BioChem</c:v>
                </c:pt>
                <c:pt idx="2">
                  <c:v>Sturm Environmental</c:v>
                </c:pt>
                <c:pt idx="3">
                  <c:v>Acculab</c:v>
                </c:pt>
                <c:pt idx="4">
                  <c:v>Standard Labs (NEST)</c:v>
                </c:pt>
                <c:pt idx="5">
                  <c:v>REI Consultants</c:v>
                </c:pt>
                <c:pt idx="6">
                  <c:v>Reliance - Bridgeport</c:v>
                </c:pt>
                <c:pt idx="7">
                  <c:v>Analabs</c:v>
                </c:pt>
                <c:pt idx="8">
                  <c:v>Tradet</c:v>
                </c:pt>
                <c:pt idx="9">
                  <c:v>REI Consultants</c:v>
                </c:pt>
                <c:pt idx="11">
                  <c:v>Referee</c:v>
                </c:pt>
                <c:pt idx="13">
                  <c:v>Average, All data</c:v>
                </c:pt>
                <c:pt idx="14">
                  <c:v>Average, GFAA</c:v>
                </c:pt>
                <c:pt idx="15">
                  <c:v>Average ICP/MS</c:v>
                </c:pt>
                <c:pt idx="16">
                  <c:v>Average Hydride</c:v>
                </c:pt>
              </c:strCache>
            </c:strRef>
          </c:cat>
          <c:val>
            <c:numRef>
              <c:f>'Phase IV data'!$F$6:$F$22</c:f>
              <c:numCache>
                <c:formatCode>0.0</c:formatCode>
                <c:ptCount val="17"/>
                <c:pt idx="0">
                  <c:v>84.000000000000014</c:v>
                </c:pt>
                <c:pt idx="1">
                  <c:v>116</c:v>
                </c:pt>
                <c:pt idx="2">
                  <c:v>78</c:v>
                </c:pt>
                <c:pt idx="3">
                  <c:v>77</c:v>
                </c:pt>
                <c:pt idx="4">
                  <c:v>80.2</c:v>
                </c:pt>
                <c:pt idx="5">
                  <c:v>0</c:v>
                </c:pt>
                <c:pt idx="6">
                  <c:v>0</c:v>
                </c:pt>
                <c:pt idx="7">
                  <c:v>75.8</c:v>
                </c:pt>
                <c:pt idx="8">
                  <c:v>114.00000000000001</c:v>
                </c:pt>
                <c:pt idx="9">
                  <c:v>96</c:v>
                </c:pt>
                <c:pt idx="11">
                  <c:v>104</c:v>
                </c:pt>
                <c:pt idx="13">
                  <c:v>72.099999999999994</c:v>
                </c:pt>
                <c:pt idx="14">
                  <c:v>87.039999999999992</c:v>
                </c:pt>
                <c:pt idx="15">
                  <c:v>25.266666666666666</c:v>
                </c:pt>
                <c:pt idx="16">
                  <c:v>105</c:v>
                </c:pt>
              </c:numCache>
            </c:numRef>
          </c:val>
        </c:ser>
        <c:axId val="125275136"/>
        <c:axId val="125297408"/>
      </c:barChart>
      <c:catAx>
        <c:axId val="125275136"/>
        <c:scaling>
          <c:orientation val="minMax"/>
        </c:scaling>
        <c:axPos val="b"/>
        <c:numFmt formatCode="General" sourceLinked="1"/>
        <c:tickLblPos val="nextTo"/>
        <c:txPr>
          <a:bodyPr rot="-2700000"/>
          <a:lstStyle/>
          <a:p>
            <a:pPr>
              <a:defRPr/>
            </a:pPr>
            <a:endParaRPr lang="en-US"/>
          </a:p>
        </c:txPr>
        <c:crossAx val="125297408"/>
        <c:crosses val="autoZero"/>
        <c:auto val="1"/>
        <c:lblAlgn val="ctr"/>
        <c:lblOffset val="100"/>
        <c:tickLblSkip val="1"/>
      </c:catAx>
      <c:valAx>
        <c:axId val="125297408"/>
        <c:scaling>
          <c:orientation val="minMax"/>
        </c:scaling>
        <c:axPos val="l"/>
        <c:majorGridlines/>
        <c:title>
          <c:tx>
            <c:rich>
              <a:bodyPr rot="0" vert="wordArtVert"/>
              <a:lstStyle/>
              <a:p>
                <a:pPr>
                  <a:defRPr/>
                </a:pPr>
                <a:r>
                  <a:rPr lang="en-US"/>
                  <a:t>% Recovery</a:t>
                </a:r>
              </a:p>
            </c:rich>
          </c:tx>
        </c:title>
        <c:numFmt formatCode="0.0" sourceLinked="1"/>
        <c:tickLblPos val="nextTo"/>
        <c:crossAx val="125275136"/>
        <c:crosses val="autoZero"/>
        <c:crossBetween val="between"/>
      </c:valAx>
    </c:plotArea>
    <c:plotVisOnly val="1"/>
    <c:dispBlanksAs val="gap"/>
  </c:chart>
  <c:spPr>
    <a:ln w="19050" cap="rnd">
      <a:solidFill>
        <a:srgbClr val="00B050"/>
      </a:solidFill>
    </a:ln>
    <a:effectLst>
      <a:innerShdw blurRad="63500" dist="50800" dir="13500000">
        <a:prstClr val="black">
          <a:alpha val="50000"/>
        </a:prstClr>
      </a:inn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a:pPr>
            <a:r>
              <a:rPr lang="en-US"/>
              <a:t>Selenium</a:t>
            </a:r>
            <a:r>
              <a:rPr lang="en-US" baseline="0"/>
              <a:t> Study Phase IV Results, 20 µg/L </a:t>
            </a:r>
            <a:endParaRPr lang="en-US"/>
          </a:p>
        </c:rich>
      </c:tx>
      <c:layout>
        <c:manualLayout>
          <c:xMode val="edge"/>
          <c:yMode val="edge"/>
          <c:x val="0.25305965660542429"/>
          <c:y val="3.2407355330583691E-2"/>
        </c:manualLayout>
      </c:layout>
    </c:title>
    <c:plotArea>
      <c:layout/>
      <c:barChart>
        <c:barDir val="col"/>
        <c:grouping val="clustered"/>
        <c:ser>
          <c:idx val="1"/>
          <c:order val="0"/>
          <c:dPt>
            <c:idx val="0"/>
            <c:spPr>
              <a:solidFill>
                <a:srgbClr val="FFFF00"/>
              </a:solidFill>
            </c:spPr>
          </c:dPt>
          <c:dPt>
            <c:idx val="1"/>
            <c:spPr>
              <a:solidFill>
                <a:srgbClr val="FFFF00"/>
              </a:solidFill>
            </c:spPr>
          </c:dPt>
          <c:dPt>
            <c:idx val="2"/>
            <c:spPr>
              <a:solidFill>
                <a:srgbClr val="FFFF00"/>
              </a:solidFill>
            </c:spPr>
          </c:dPt>
          <c:dPt>
            <c:idx val="3"/>
            <c:spPr>
              <a:solidFill>
                <a:srgbClr val="FFFF00"/>
              </a:solidFill>
            </c:spPr>
          </c:dPt>
          <c:dPt>
            <c:idx val="4"/>
            <c:spPr>
              <a:solidFill>
                <a:srgbClr val="FFFF00"/>
              </a:solidFill>
            </c:spPr>
          </c:dPt>
          <c:dPt>
            <c:idx val="5"/>
            <c:spPr>
              <a:solidFill>
                <a:srgbClr val="00B050"/>
              </a:solidFill>
            </c:spPr>
          </c:dPt>
          <c:dPt>
            <c:idx val="6"/>
            <c:spPr>
              <a:solidFill>
                <a:srgbClr val="FFFF00"/>
              </a:solidFill>
            </c:spPr>
          </c:dPt>
          <c:dPt>
            <c:idx val="7"/>
            <c:spPr>
              <a:solidFill>
                <a:srgbClr val="00B050"/>
              </a:solidFill>
            </c:spPr>
          </c:dPt>
          <c:dPt>
            <c:idx val="8"/>
            <c:spPr>
              <a:solidFill>
                <a:srgbClr val="7030A0"/>
              </a:solidFill>
            </c:spPr>
          </c:dPt>
          <c:dPt>
            <c:idx val="9"/>
            <c:spPr>
              <a:solidFill>
                <a:srgbClr val="7030A0"/>
              </a:solidFill>
            </c:spPr>
          </c:dPt>
          <c:dPt>
            <c:idx val="10"/>
            <c:spPr>
              <a:solidFill>
                <a:srgbClr val="00B050"/>
              </a:solidFill>
            </c:spPr>
          </c:dPt>
          <c:dPt>
            <c:idx val="11"/>
            <c:spPr>
              <a:solidFill>
                <a:srgbClr val="0070C0"/>
              </a:solidFill>
            </c:spPr>
          </c:dPt>
          <c:dPt>
            <c:idx val="13"/>
            <c:spPr>
              <a:solidFill>
                <a:srgbClr val="FF0000"/>
              </a:solidFill>
            </c:spPr>
          </c:dPt>
          <c:dPt>
            <c:idx val="14"/>
            <c:spPr>
              <a:solidFill>
                <a:srgbClr val="FFFF00"/>
              </a:solidFill>
            </c:spPr>
          </c:dPt>
          <c:dPt>
            <c:idx val="15"/>
            <c:spPr>
              <a:solidFill>
                <a:srgbClr val="00B050"/>
              </a:solidFill>
            </c:spPr>
          </c:dPt>
          <c:dPt>
            <c:idx val="16"/>
            <c:spPr>
              <a:solidFill>
                <a:srgbClr val="7030A0"/>
              </a:solidFill>
            </c:spPr>
          </c:dPt>
          <c:dLbls>
            <c:dLbl>
              <c:idx val="0"/>
              <c:dLblPos val="outEnd"/>
              <c:showVal val="1"/>
            </c:dLbl>
            <c:dLbl>
              <c:idx val="1"/>
              <c:dLblPos val="outEnd"/>
              <c:showVal val="1"/>
            </c:dLbl>
            <c:dLbl>
              <c:idx val="2"/>
              <c:dLblPos val="outEnd"/>
              <c:showVal val="1"/>
            </c:dLbl>
            <c:dLbl>
              <c:idx val="3"/>
              <c:dLblPos val="outEnd"/>
              <c:showVal val="1"/>
            </c:dLbl>
            <c:dLbl>
              <c:idx val="4"/>
              <c:dLblPos val="outEnd"/>
              <c:showVal val="1"/>
            </c:dLbl>
            <c:dLbl>
              <c:idx val="5"/>
              <c:dLblPos val="outEnd"/>
              <c:showVal val="1"/>
            </c:dLbl>
            <c:dLbl>
              <c:idx val="6"/>
              <c:tx>
                <c:rich>
                  <a:bodyPr/>
                  <a:lstStyle/>
                  <a:p>
                    <a:r>
                      <a:rPr lang="en-US"/>
                      <a:t>0</a:t>
                    </a:r>
                  </a:p>
                </c:rich>
              </c:tx>
              <c:dLblPos val="outEnd"/>
              <c:showVal val="1"/>
            </c:dLbl>
            <c:dLbl>
              <c:idx val="7"/>
              <c:spPr>
                <a:noFill/>
              </c:spPr>
              <c:txPr>
                <a:bodyPr/>
                <a:lstStyle/>
                <a:p>
                  <a:pPr>
                    <a:defRPr/>
                  </a:pPr>
                  <a:endParaRPr lang="en-US"/>
                </a:p>
              </c:txPr>
              <c:dLblPos val="outEnd"/>
              <c:showVal val="1"/>
            </c:dLbl>
            <c:dLbl>
              <c:idx val="8"/>
              <c:dLblPos val="outEnd"/>
              <c:showVal val="1"/>
            </c:dLbl>
            <c:dLbl>
              <c:idx val="9"/>
              <c:dLblPos val="outEnd"/>
              <c:showVal val="1"/>
            </c:dLbl>
            <c:dLbl>
              <c:idx val="10"/>
              <c:tx>
                <c:rich>
                  <a:bodyPr/>
                  <a:lstStyle/>
                  <a:p>
                    <a:r>
                      <a:rPr lang="en-US"/>
                      <a:t>&lt;0.359</a:t>
                    </a:r>
                  </a:p>
                </c:rich>
              </c:tx>
              <c:dLblPos val="outEnd"/>
              <c:showVal val="1"/>
            </c:dLbl>
            <c:dLbl>
              <c:idx val="11"/>
              <c:showVal val="1"/>
            </c:dLbl>
            <c:dLbl>
              <c:idx val="12"/>
              <c:dLblPos val="outEnd"/>
              <c:showVal val="1"/>
            </c:dLbl>
            <c:dLbl>
              <c:idx val="13"/>
              <c:dLblPos val="outEnd"/>
              <c:showVal val="1"/>
            </c:dLbl>
            <c:dLbl>
              <c:idx val="14"/>
              <c:dLblPos val="outEnd"/>
              <c:showVal val="1"/>
            </c:dLbl>
            <c:dLbl>
              <c:idx val="15"/>
              <c:showVal val="1"/>
            </c:dLbl>
            <c:dLbl>
              <c:idx val="16"/>
              <c:showVal val="1"/>
            </c:dLbl>
            <c:delete val="1"/>
          </c:dLbls>
          <c:cat>
            <c:strRef>
              <c:f>'Phase IV data'!$A$6:$A$22</c:f>
              <c:strCache>
                <c:ptCount val="17"/>
                <c:pt idx="0">
                  <c:v>REI Consultants</c:v>
                </c:pt>
                <c:pt idx="1">
                  <c:v>BioChem</c:v>
                </c:pt>
                <c:pt idx="2">
                  <c:v>Sturm Environmental</c:v>
                </c:pt>
                <c:pt idx="3">
                  <c:v>Acculab</c:v>
                </c:pt>
                <c:pt idx="4">
                  <c:v>Standard Labs (NEST)</c:v>
                </c:pt>
                <c:pt idx="5">
                  <c:v>REI Consultants</c:v>
                </c:pt>
                <c:pt idx="6">
                  <c:v>Reliance - Bridgeport</c:v>
                </c:pt>
                <c:pt idx="7">
                  <c:v>Analabs</c:v>
                </c:pt>
                <c:pt idx="8">
                  <c:v>REI Consultants</c:v>
                </c:pt>
                <c:pt idx="9">
                  <c:v>Tradet</c:v>
                </c:pt>
                <c:pt idx="11">
                  <c:v>Referee</c:v>
                </c:pt>
                <c:pt idx="13">
                  <c:v>Average, All data</c:v>
                </c:pt>
                <c:pt idx="14">
                  <c:v>Average, GFAA</c:v>
                </c:pt>
                <c:pt idx="15">
                  <c:v>Average ICP/MS</c:v>
                </c:pt>
                <c:pt idx="16">
                  <c:v>Average Hydride</c:v>
                </c:pt>
              </c:strCache>
            </c:strRef>
          </c:cat>
          <c:val>
            <c:numRef>
              <c:f>'Phase IV data'!$C$6:$C$22</c:f>
              <c:numCache>
                <c:formatCode>General</c:formatCode>
                <c:ptCount val="17"/>
                <c:pt idx="0">
                  <c:v>15</c:v>
                </c:pt>
                <c:pt idx="1">
                  <c:v>21.8</c:v>
                </c:pt>
                <c:pt idx="2">
                  <c:v>17.7</c:v>
                </c:pt>
                <c:pt idx="3">
                  <c:v>6.5</c:v>
                </c:pt>
                <c:pt idx="4">
                  <c:v>9.8800000000000008</c:v>
                </c:pt>
                <c:pt idx="5">
                  <c:v>17.2</c:v>
                </c:pt>
                <c:pt idx="6">
                  <c:v>0</c:v>
                </c:pt>
                <c:pt idx="7">
                  <c:v>14.7</c:v>
                </c:pt>
                <c:pt idx="8">
                  <c:v>17.8</c:v>
                </c:pt>
                <c:pt idx="9">
                  <c:v>19.2</c:v>
                </c:pt>
                <c:pt idx="11">
                  <c:v>20</c:v>
                </c:pt>
                <c:pt idx="13" formatCode="0.0">
                  <c:v>13.978</c:v>
                </c:pt>
                <c:pt idx="14" formatCode="0.0">
                  <c:v>14.176000000000002</c:v>
                </c:pt>
                <c:pt idx="15" formatCode="0.0">
                  <c:v>10.633333333333333</c:v>
                </c:pt>
                <c:pt idx="16">
                  <c:v>18.5</c:v>
                </c:pt>
              </c:numCache>
            </c:numRef>
          </c:val>
        </c:ser>
        <c:axId val="125353344"/>
        <c:axId val="125359232"/>
      </c:barChart>
      <c:catAx>
        <c:axId val="125353344"/>
        <c:scaling>
          <c:orientation val="minMax"/>
        </c:scaling>
        <c:axPos val="b"/>
        <c:numFmt formatCode="General" sourceLinked="1"/>
        <c:tickLblPos val="nextTo"/>
        <c:crossAx val="125359232"/>
        <c:crosses val="autoZero"/>
        <c:auto val="1"/>
        <c:lblAlgn val="ctr"/>
        <c:lblOffset val="100"/>
        <c:tickLblSkip val="1"/>
      </c:catAx>
      <c:valAx>
        <c:axId val="125359232"/>
        <c:scaling>
          <c:orientation val="minMax"/>
        </c:scaling>
        <c:axPos val="l"/>
        <c:majorGridlines/>
        <c:title>
          <c:tx>
            <c:rich>
              <a:bodyPr rot="0" vert="horz"/>
              <a:lstStyle/>
              <a:p>
                <a:pPr>
                  <a:defRPr/>
                </a:pPr>
                <a:r>
                  <a:rPr lang="en-US"/>
                  <a:t>µg/L</a:t>
                </a:r>
              </a:p>
            </c:rich>
          </c:tx>
        </c:title>
        <c:numFmt formatCode="General" sourceLinked="1"/>
        <c:tickLblPos val="nextTo"/>
        <c:crossAx val="125353344"/>
        <c:crosses val="autoZero"/>
        <c:crossBetween val="between"/>
      </c:valAx>
    </c:plotArea>
    <c:plotVisOnly val="1"/>
    <c:dispBlanksAs val="gap"/>
  </c:chart>
  <c:spPr>
    <a:ln w="19050" cap="rnd">
      <a:solidFill>
        <a:srgbClr val="00B050"/>
      </a:solidFill>
    </a:ln>
    <a:effectLst>
      <a:innerShdw blurRad="63500" dist="50800" dir="13500000">
        <a:prstClr val="black">
          <a:alpha val="50000"/>
        </a:prstClr>
      </a:inn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a:pPr>
            <a:r>
              <a:rPr lang="en-US"/>
              <a:t>Selenium</a:t>
            </a:r>
            <a:r>
              <a:rPr lang="en-US" baseline="0"/>
              <a:t> Study Phase IV % Recovery   </a:t>
            </a:r>
            <a:endParaRPr lang="en-US"/>
          </a:p>
        </c:rich>
      </c:tx>
      <c:layout>
        <c:manualLayout>
          <c:xMode val="edge"/>
          <c:yMode val="edge"/>
          <c:x val="0.31346502312935387"/>
          <c:y val="2.0099653527211242E-2"/>
        </c:manualLayout>
      </c:layout>
    </c:title>
    <c:plotArea>
      <c:layout/>
      <c:barChart>
        <c:barDir val="col"/>
        <c:grouping val="clustered"/>
        <c:ser>
          <c:idx val="0"/>
          <c:order val="0"/>
          <c:tx>
            <c:strRef>
              <c:f>'Phase IV data'!$F$5</c:f>
              <c:strCache>
                <c:ptCount val="1"/>
                <c:pt idx="0">
                  <c:v>% Rec.</c:v>
                </c:pt>
              </c:strCache>
            </c:strRef>
          </c:tx>
          <c:spPr>
            <a:solidFill>
              <a:srgbClr val="FFFF00"/>
            </a:solidFill>
          </c:spPr>
          <c:dPt>
            <c:idx val="5"/>
            <c:spPr>
              <a:solidFill>
                <a:srgbClr val="00B050"/>
              </a:solidFill>
            </c:spPr>
          </c:dPt>
          <c:dPt>
            <c:idx val="7"/>
            <c:spPr>
              <a:solidFill>
                <a:srgbClr val="00B050"/>
              </a:solidFill>
            </c:spPr>
          </c:dPt>
          <c:dPt>
            <c:idx val="8"/>
            <c:spPr>
              <a:solidFill>
                <a:srgbClr val="7030A0"/>
              </a:solidFill>
            </c:spPr>
          </c:dPt>
          <c:dPt>
            <c:idx val="9"/>
            <c:spPr>
              <a:solidFill>
                <a:srgbClr val="7030A0"/>
              </a:solidFill>
            </c:spPr>
          </c:dPt>
          <c:dPt>
            <c:idx val="11"/>
            <c:spPr>
              <a:solidFill>
                <a:srgbClr val="0070C0"/>
              </a:solidFill>
            </c:spPr>
          </c:dPt>
          <c:dPt>
            <c:idx val="13"/>
            <c:spPr>
              <a:solidFill>
                <a:srgbClr val="FF0000"/>
              </a:solidFill>
            </c:spPr>
          </c:dPt>
          <c:dPt>
            <c:idx val="15"/>
            <c:spPr>
              <a:solidFill>
                <a:srgbClr val="00B050"/>
              </a:solidFill>
            </c:spPr>
          </c:dPt>
          <c:dPt>
            <c:idx val="16"/>
            <c:spPr>
              <a:solidFill>
                <a:srgbClr val="7030A0"/>
              </a:solidFill>
            </c:spPr>
          </c:dPt>
          <c:dLbls>
            <c:dLbl>
              <c:idx val="0"/>
              <c:spPr/>
              <c:txPr>
                <a:bodyPr/>
                <a:lstStyle/>
                <a:p>
                  <a:pPr>
                    <a:defRPr/>
                  </a:pPr>
                  <a:endParaRPr lang="en-US"/>
                </a:p>
              </c:txPr>
              <c:showVal val="1"/>
            </c:dLbl>
            <c:dLbl>
              <c:idx val="1"/>
              <c:spPr/>
              <c:txPr>
                <a:bodyPr/>
                <a:lstStyle/>
                <a:p>
                  <a:pPr>
                    <a:defRPr/>
                  </a:pPr>
                  <a:endParaRPr lang="en-US"/>
                </a:p>
              </c:txPr>
              <c:showVal val="1"/>
            </c:dLbl>
            <c:dLbl>
              <c:idx val="2"/>
              <c:spPr/>
              <c:txPr>
                <a:bodyPr/>
                <a:lstStyle/>
                <a:p>
                  <a:pPr>
                    <a:defRPr/>
                  </a:pPr>
                  <a:endParaRPr lang="en-US"/>
                </a:p>
              </c:txPr>
              <c:showVal val="1"/>
            </c:dLbl>
            <c:dLbl>
              <c:idx val="3"/>
              <c:spPr/>
              <c:txPr>
                <a:bodyPr/>
                <a:lstStyle/>
                <a:p>
                  <a:pPr>
                    <a:defRPr/>
                  </a:pPr>
                  <a:endParaRPr lang="en-US"/>
                </a:p>
              </c:txPr>
              <c:showVal val="1"/>
            </c:dLbl>
            <c:dLbl>
              <c:idx val="4"/>
              <c:spPr/>
              <c:txPr>
                <a:bodyPr/>
                <a:lstStyle/>
                <a:p>
                  <a:pPr>
                    <a:defRPr/>
                  </a:pPr>
                  <a:endParaRPr lang="en-US"/>
                </a:p>
              </c:txPr>
              <c:showVal val="1"/>
            </c:dLbl>
            <c:dLbl>
              <c:idx val="5"/>
              <c:spPr/>
              <c:txPr>
                <a:bodyPr/>
                <a:lstStyle/>
                <a:p>
                  <a:pPr>
                    <a:defRPr/>
                  </a:pPr>
                  <a:endParaRPr lang="en-US"/>
                </a:p>
              </c:txPr>
              <c:showVal val="1"/>
            </c:dLbl>
            <c:dLbl>
              <c:idx val="6"/>
              <c:spPr/>
              <c:txPr>
                <a:bodyPr/>
                <a:lstStyle/>
                <a:p>
                  <a:pPr>
                    <a:defRPr/>
                  </a:pPr>
                  <a:endParaRPr lang="en-US"/>
                </a:p>
              </c:txPr>
              <c:showVal val="1"/>
            </c:dLbl>
            <c:dLbl>
              <c:idx val="7"/>
              <c:spPr/>
              <c:txPr>
                <a:bodyPr/>
                <a:lstStyle/>
                <a:p>
                  <a:pPr>
                    <a:defRPr/>
                  </a:pPr>
                  <a:endParaRPr lang="en-US"/>
                </a:p>
              </c:txPr>
              <c:showVal val="1"/>
            </c:dLbl>
            <c:dLbl>
              <c:idx val="8"/>
              <c:spPr/>
              <c:txPr>
                <a:bodyPr/>
                <a:lstStyle/>
                <a:p>
                  <a:pPr>
                    <a:defRPr/>
                  </a:pPr>
                  <a:endParaRPr lang="en-US"/>
                </a:p>
              </c:txPr>
              <c:showVal val="1"/>
            </c:dLbl>
            <c:dLbl>
              <c:idx val="9"/>
              <c:spPr/>
              <c:txPr>
                <a:bodyPr/>
                <a:lstStyle/>
                <a:p>
                  <a:pPr>
                    <a:defRPr/>
                  </a:pPr>
                  <a:endParaRPr lang="en-US"/>
                </a:p>
              </c:txPr>
              <c:showVal val="1"/>
            </c:dLbl>
            <c:dLbl>
              <c:idx val="10"/>
              <c:spPr/>
              <c:txPr>
                <a:bodyPr/>
                <a:lstStyle/>
                <a:p>
                  <a:pPr>
                    <a:defRPr/>
                  </a:pPr>
                  <a:endParaRPr lang="en-US"/>
                </a:p>
              </c:txPr>
              <c:showVal val="1"/>
            </c:dLbl>
            <c:dLbl>
              <c:idx val="11"/>
              <c:spPr/>
              <c:txPr>
                <a:bodyPr/>
                <a:lstStyle/>
                <a:p>
                  <a:pPr>
                    <a:defRPr/>
                  </a:pPr>
                  <a:endParaRPr lang="en-US"/>
                </a:p>
              </c:txPr>
              <c:showVal val="1"/>
            </c:dLbl>
            <c:dLbl>
              <c:idx val="12"/>
              <c:spPr/>
              <c:txPr>
                <a:bodyPr/>
                <a:lstStyle/>
                <a:p>
                  <a:pPr>
                    <a:defRPr/>
                  </a:pPr>
                  <a:endParaRPr lang="en-US"/>
                </a:p>
              </c:txPr>
              <c:showVal val="1"/>
            </c:dLbl>
            <c:dLbl>
              <c:idx val="13"/>
              <c:showVal val="1"/>
            </c:dLbl>
            <c:dLbl>
              <c:idx val="14"/>
              <c:showVal val="1"/>
            </c:dLbl>
            <c:dLbl>
              <c:idx val="15"/>
              <c:showVal val="1"/>
            </c:dLbl>
            <c:dLbl>
              <c:idx val="16"/>
              <c:showVal val="1"/>
            </c:dLbl>
            <c:delete val="1"/>
          </c:dLbls>
          <c:cat>
            <c:strRef>
              <c:f>'Phase IV data'!$A$6:$A$22</c:f>
              <c:strCache>
                <c:ptCount val="17"/>
                <c:pt idx="0">
                  <c:v>REI Consultants</c:v>
                </c:pt>
                <c:pt idx="1">
                  <c:v>BioChem</c:v>
                </c:pt>
                <c:pt idx="2">
                  <c:v>Sturm Environmental</c:v>
                </c:pt>
                <c:pt idx="3">
                  <c:v>Acculab</c:v>
                </c:pt>
                <c:pt idx="4">
                  <c:v>Standard Labs (NEST)</c:v>
                </c:pt>
                <c:pt idx="5">
                  <c:v>REI Consultants</c:v>
                </c:pt>
                <c:pt idx="6">
                  <c:v>Reliance - Bridgeport</c:v>
                </c:pt>
                <c:pt idx="7">
                  <c:v>Analabs</c:v>
                </c:pt>
                <c:pt idx="8">
                  <c:v>REI Consultants</c:v>
                </c:pt>
                <c:pt idx="9">
                  <c:v>Tradet</c:v>
                </c:pt>
                <c:pt idx="11">
                  <c:v>Referee</c:v>
                </c:pt>
                <c:pt idx="13">
                  <c:v>Average, All data</c:v>
                </c:pt>
                <c:pt idx="14">
                  <c:v>Average, GFAA</c:v>
                </c:pt>
                <c:pt idx="15">
                  <c:v>Average ICP/MS</c:v>
                </c:pt>
                <c:pt idx="16">
                  <c:v>Average Hydride</c:v>
                </c:pt>
              </c:strCache>
            </c:strRef>
          </c:cat>
          <c:val>
            <c:numRef>
              <c:f>'Phase IV data'!$F$6:$F$22</c:f>
              <c:numCache>
                <c:formatCode>0.0</c:formatCode>
                <c:ptCount val="17"/>
                <c:pt idx="0">
                  <c:v>75</c:v>
                </c:pt>
                <c:pt idx="1">
                  <c:v>109.00000000000001</c:v>
                </c:pt>
                <c:pt idx="2">
                  <c:v>88.5</c:v>
                </c:pt>
                <c:pt idx="3">
                  <c:v>32.5</c:v>
                </c:pt>
                <c:pt idx="4">
                  <c:v>49.400000000000006</c:v>
                </c:pt>
                <c:pt idx="5">
                  <c:v>86</c:v>
                </c:pt>
                <c:pt idx="6">
                  <c:v>0</c:v>
                </c:pt>
                <c:pt idx="7">
                  <c:v>73.5</c:v>
                </c:pt>
                <c:pt idx="8">
                  <c:v>89</c:v>
                </c:pt>
                <c:pt idx="9">
                  <c:v>96</c:v>
                </c:pt>
                <c:pt idx="11">
                  <c:v>100</c:v>
                </c:pt>
                <c:pt idx="13">
                  <c:v>69.89</c:v>
                </c:pt>
                <c:pt idx="14">
                  <c:v>70.88</c:v>
                </c:pt>
                <c:pt idx="15">
                  <c:v>53.166666666666444</c:v>
                </c:pt>
                <c:pt idx="16">
                  <c:v>92.5</c:v>
                </c:pt>
              </c:numCache>
            </c:numRef>
          </c:val>
        </c:ser>
        <c:axId val="121656832"/>
        <c:axId val="121658368"/>
      </c:barChart>
      <c:catAx>
        <c:axId val="121656832"/>
        <c:scaling>
          <c:orientation val="minMax"/>
        </c:scaling>
        <c:axPos val="b"/>
        <c:numFmt formatCode="General" sourceLinked="1"/>
        <c:tickLblPos val="nextTo"/>
        <c:txPr>
          <a:bodyPr rot="-2700000"/>
          <a:lstStyle/>
          <a:p>
            <a:pPr>
              <a:defRPr/>
            </a:pPr>
            <a:endParaRPr lang="en-US"/>
          </a:p>
        </c:txPr>
        <c:crossAx val="121658368"/>
        <c:crosses val="autoZero"/>
        <c:auto val="1"/>
        <c:lblAlgn val="ctr"/>
        <c:lblOffset val="100"/>
        <c:tickLblSkip val="1"/>
      </c:catAx>
      <c:valAx>
        <c:axId val="121658368"/>
        <c:scaling>
          <c:orientation val="minMax"/>
        </c:scaling>
        <c:axPos val="l"/>
        <c:majorGridlines/>
        <c:title>
          <c:tx>
            <c:rich>
              <a:bodyPr rot="0" vert="wordArtVert"/>
              <a:lstStyle/>
              <a:p>
                <a:pPr>
                  <a:defRPr/>
                </a:pPr>
                <a:r>
                  <a:rPr lang="en-US"/>
                  <a:t>% Recovery</a:t>
                </a:r>
              </a:p>
            </c:rich>
          </c:tx>
        </c:title>
        <c:numFmt formatCode="0.0" sourceLinked="1"/>
        <c:tickLblPos val="nextTo"/>
        <c:crossAx val="121656832"/>
        <c:crosses val="autoZero"/>
        <c:crossBetween val="between"/>
      </c:valAx>
    </c:plotArea>
    <c:plotVisOnly val="1"/>
    <c:dispBlanksAs val="gap"/>
  </c:chart>
  <c:spPr>
    <a:ln w="19050" cap="rnd">
      <a:solidFill>
        <a:srgbClr val="00B050"/>
      </a:solidFill>
    </a:ln>
    <a:effectLst>
      <a:innerShdw blurRad="63500" dist="50800" dir="13500000">
        <a:prstClr val="black">
          <a:alpha val="50000"/>
        </a:prstClr>
      </a:inn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a:pPr>
            <a:r>
              <a:rPr lang="en-US"/>
              <a:t>Selenium</a:t>
            </a:r>
            <a:r>
              <a:rPr lang="en-US" baseline="0"/>
              <a:t> Phase I Results % Recovery, 5 µg/L</a:t>
            </a:r>
          </a:p>
        </c:rich>
      </c:tx>
      <c:layout>
        <c:manualLayout>
          <c:xMode val="edge"/>
          <c:yMode val="edge"/>
          <c:x val="0.15547008547008573"/>
          <c:y val="1.2740715102919841E-3"/>
        </c:manualLayout>
      </c:layout>
    </c:title>
    <c:plotArea>
      <c:layout>
        <c:manualLayout>
          <c:layoutTarget val="inner"/>
          <c:xMode val="edge"/>
          <c:yMode val="edge"/>
          <c:x val="0.11359183617672791"/>
          <c:y val="8.3487220347456564E-2"/>
          <c:w val="0.86383871937883205"/>
          <c:h val="0.70562335958005262"/>
        </c:manualLayout>
      </c:layout>
      <c:barChart>
        <c:barDir val="col"/>
        <c:grouping val="clustered"/>
        <c:ser>
          <c:idx val="0"/>
          <c:order val="0"/>
          <c:dPt>
            <c:idx val="0"/>
            <c:spPr>
              <a:solidFill>
                <a:srgbClr val="FFFF00"/>
              </a:solidFill>
            </c:spPr>
          </c:dPt>
          <c:dPt>
            <c:idx val="1"/>
            <c:spPr>
              <a:solidFill>
                <a:srgbClr val="FFFF00"/>
              </a:solidFill>
            </c:spPr>
          </c:dPt>
          <c:dPt>
            <c:idx val="2"/>
            <c:spPr>
              <a:solidFill>
                <a:srgbClr val="FFFF00"/>
              </a:solidFill>
            </c:spPr>
          </c:dPt>
          <c:dPt>
            <c:idx val="3"/>
            <c:spPr>
              <a:solidFill>
                <a:srgbClr val="FFFF00"/>
              </a:solidFill>
            </c:spPr>
          </c:dPt>
          <c:dPt>
            <c:idx val="4"/>
            <c:spPr>
              <a:solidFill>
                <a:srgbClr val="FFFF00"/>
              </a:solidFill>
            </c:spPr>
          </c:dPt>
          <c:dPt>
            <c:idx val="5"/>
            <c:spPr>
              <a:solidFill>
                <a:srgbClr val="FFFF00"/>
              </a:solidFill>
            </c:spPr>
          </c:dPt>
          <c:dPt>
            <c:idx val="6"/>
            <c:spPr>
              <a:solidFill>
                <a:srgbClr val="FFFF00"/>
              </a:solidFill>
            </c:spPr>
          </c:dPt>
          <c:dPt>
            <c:idx val="7"/>
            <c:spPr>
              <a:solidFill>
                <a:srgbClr val="FFFF00"/>
              </a:solidFill>
            </c:spPr>
          </c:dPt>
          <c:dPt>
            <c:idx val="8"/>
            <c:spPr>
              <a:solidFill>
                <a:srgbClr val="FFFF00"/>
              </a:solidFill>
            </c:spPr>
          </c:dPt>
          <c:dPt>
            <c:idx val="9"/>
            <c:spPr>
              <a:solidFill>
                <a:srgbClr val="00B050"/>
              </a:solidFill>
            </c:spPr>
          </c:dPt>
          <c:dPt>
            <c:idx val="10"/>
            <c:spPr>
              <a:solidFill>
                <a:srgbClr val="00B050"/>
              </a:solidFill>
            </c:spPr>
          </c:dPt>
          <c:dPt>
            <c:idx val="11"/>
            <c:spPr>
              <a:solidFill>
                <a:srgbClr val="00B050"/>
              </a:solidFill>
            </c:spPr>
          </c:dPt>
          <c:dPt>
            <c:idx val="12"/>
            <c:spPr>
              <a:solidFill>
                <a:srgbClr val="7030A0"/>
              </a:solidFill>
            </c:spPr>
          </c:dPt>
          <c:dPt>
            <c:idx val="13"/>
            <c:spPr>
              <a:solidFill>
                <a:srgbClr val="FF0000"/>
              </a:solidFill>
            </c:spPr>
          </c:dPt>
          <c:dPt>
            <c:idx val="14"/>
            <c:spPr>
              <a:solidFill>
                <a:srgbClr val="FF0000"/>
              </a:solidFill>
            </c:spPr>
          </c:dPt>
          <c:dPt>
            <c:idx val="15"/>
            <c:spPr>
              <a:solidFill>
                <a:srgbClr val="FFFF00"/>
              </a:solidFill>
            </c:spPr>
          </c:dPt>
          <c:dPt>
            <c:idx val="16"/>
            <c:spPr>
              <a:solidFill>
                <a:srgbClr val="00B050"/>
              </a:solidFill>
            </c:spPr>
          </c:dPt>
          <c:dPt>
            <c:idx val="17"/>
            <c:spPr>
              <a:solidFill>
                <a:srgbClr val="7030A0"/>
              </a:solidFill>
            </c:spPr>
          </c:dPt>
          <c:dLbls>
            <c:dLbl>
              <c:idx val="0"/>
              <c:showVal val="1"/>
            </c:dLbl>
            <c:dLbl>
              <c:idx val="1"/>
              <c:showVal val="1"/>
            </c:dLbl>
            <c:dLbl>
              <c:idx val="2"/>
              <c:showVal val="1"/>
            </c:dLbl>
            <c:dLbl>
              <c:idx val="3"/>
              <c:showVal val="1"/>
            </c:dLbl>
            <c:dLbl>
              <c:idx val="4"/>
              <c:showVal val="1"/>
            </c:dLbl>
            <c:dLbl>
              <c:idx val="5"/>
              <c:showVal val="1"/>
            </c:dLbl>
            <c:dLbl>
              <c:idx val="6"/>
              <c:showVal val="1"/>
            </c:dLbl>
            <c:dLbl>
              <c:idx val="7"/>
              <c:showVal val="1"/>
            </c:dLbl>
            <c:dLbl>
              <c:idx val="8"/>
              <c:showVal val="1"/>
            </c:dLbl>
            <c:dLbl>
              <c:idx val="9"/>
              <c:showVal val="1"/>
            </c:dLbl>
            <c:dLbl>
              <c:idx val="10"/>
              <c:showVal val="1"/>
            </c:dLbl>
            <c:dLbl>
              <c:idx val="11"/>
              <c:showVal val="1"/>
            </c:dLbl>
            <c:dLbl>
              <c:idx val="12"/>
              <c:showVal val="1"/>
            </c:dLbl>
            <c:dLbl>
              <c:idx val="13"/>
              <c:showVal val="1"/>
            </c:dLbl>
            <c:dLbl>
              <c:idx val="14"/>
              <c:showVal val="1"/>
            </c:dLbl>
            <c:dLbl>
              <c:idx val="15"/>
              <c:showVal val="1"/>
            </c:dLbl>
            <c:dLbl>
              <c:idx val="16"/>
              <c:showVal val="1"/>
            </c:dLbl>
            <c:dLbl>
              <c:idx val="17"/>
              <c:showVal val="1"/>
            </c:dLbl>
            <c:delete val="1"/>
          </c:dLbls>
          <c:cat>
            <c:strRef>
              <c:f>'Data Phase I'!$A$6:$A$23</c:f>
              <c:strCache>
                <c:ptCount val="18"/>
                <c:pt idx="0">
                  <c:v>Appalachian Laboratories</c:v>
                </c:pt>
                <c:pt idx="1">
                  <c:v>Appalachian States</c:v>
                </c:pt>
                <c:pt idx="2">
                  <c:v>Standard Labs (NEST)</c:v>
                </c:pt>
                <c:pt idx="3">
                  <c:v>REI Consultants</c:v>
                </c:pt>
                <c:pt idx="4">
                  <c:v>Sturm Environmental</c:v>
                </c:pt>
                <c:pt idx="5">
                  <c:v>Standard Labs (Charleston)</c:v>
                </c:pt>
                <c:pt idx="6">
                  <c:v>Acculab</c:v>
                </c:pt>
                <c:pt idx="7">
                  <c:v>Compliance Monitoring</c:v>
                </c:pt>
                <c:pt idx="8">
                  <c:v>SGS</c:v>
                </c:pt>
                <c:pt idx="9">
                  <c:v>REI Consultants</c:v>
                </c:pt>
                <c:pt idx="10">
                  <c:v>American Elec. Power</c:v>
                </c:pt>
                <c:pt idx="11">
                  <c:v>Analabs</c:v>
                </c:pt>
                <c:pt idx="12">
                  <c:v>Tra-Det</c:v>
                </c:pt>
                <c:pt idx="14">
                  <c:v>Average, All data</c:v>
                </c:pt>
                <c:pt idx="15">
                  <c:v>Average, GFAA</c:v>
                </c:pt>
                <c:pt idx="16">
                  <c:v>Average, ICP/MS</c:v>
                </c:pt>
                <c:pt idx="17">
                  <c:v>Average, Hydride</c:v>
                </c:pt>
              </c:strCache>
            </c:strRef>
          </c:cat>
          <c:val>
            <c:numRef>
              <c:f>'Data Phase I'!$G$6:$G$23</c:f>
              <c:numCache>
                <c:formatCode>0.0</c:formatCode>
                <c:ptCount val="18"/>
                <c:pt idx="0">
                  <c:v>94</c:v>
                </c:pt>
                <c:pt idx="1">
                  <c:v>102</c:v>
                </c:pt>
                <c:pt idx="2">
                  <c:v>91.2</c:v>
                </c:pt>
                <c:pt idx="3">
                  <c:v>88.000000000000014</c:v>
                </c:pt>
                <c:pt idx="4">
                  <c:v>87.4</c:v>
                </c:pt>
                <c:pt idx="5">
                  <c:v>100.4</c:v>
                </c:pt>
                <c:pt idx="6">
                  <c:v>94</c:v>
                </c:pt>
                <c:pt idx="7">
                  <c:v>119</c:v>
                </c:pt>
                <c:pt idx="8">
                  <c:v>94</c:v>
                </c:pt>
                <c:pt idx="9">
                  <c:v>90.399999999999991</c:v>
                </c:pt>
                <c:pt idx="10">
                  <c:v>96</c:v>
                </c:pt>
                <c:pt idx="11">
                  <c:v>106.4</c:v>
                </c:pt>
                <c:pt idx="12" formatCode="General">
                  <c:v>78</c:v>
                </c:pt>
                <c:pt idx="14">
                  <c:v>95.446153846153862</c:v>
                </c:pt>
                <c:pt idx="15">
                  <c:v>96.666666666666671</c:v>
                </c:pt>
                <c:pt idx="16">
                  <c:v>97.6</c:v>
                </c:pt>
                <c:pt idx="17" formatCode="General">
                  <c:v>78</c:v>
                </c:pt>
              </c:numCache>
            </c:numRef>
          </c:val>
        </c:ser>
        <c:axId val="121932800"/>
        <c:axId val="121950976"/>
      </c:barChart>
      <c:catAx>
        <c:axId val="121932800"/>
        <c:scaling>
          <c:orientation val="minMax"/>
        </c:scaling>
        <c:axPos val="b"/>
        <c:tickLblPos val="nextTo"/>
        <c:crossAx val="121950976"/>
        <c:crosses val="autoZero"/>
        <c:auto val="1"/>
        <c:lblAlgn val="ctr"/>
        <c:lblOffset val="100"/>
        <c:tickLblSkip val="1"/>
      </c:catAx>
      <c:valAx>
        <c:axId val="121950976"/>
        <c:scaling>
          <c:orientation val="minMax"/>
        </c:scaling>
        <c:axPos val="l"/>
        <c:majorGridlines/>
        <c:title>
          <c:tx>
            <c:rich>
              <a:bodyPr rot="0" vert="wordArtVert"/>
              <a:lstStyle/>
              <a:p>
                <a:pPr>
                  <a:defRPr/>
                </a:pPr>
                <a:r>
                  <a:rPr lang="en-US"/>
                  <a:t>% Recovery</a:t>
                </a:r>
              </a:p>
            </c:rich>
          </c:tx>
        </c:title>
        <c:numFmt formatCode="0.0" sourceLinked="1"/>
        <c:tickLblPos val="nextTo"/>
        <c:crossAx val="121932800"/>
        <c:crosses val="autoZero"/>
        <c:crossBetween val="between"/>
      </c:valAx>
    </c:plotArea>
    <c:plotVisOnly val="1"/>
  </c:chart>
  <c:spPr>
    <a:ln w="19050" cap="rnd">
      <a:solidFill>
        <a:srgbClr val="00B050"/>
      </a:solidFill>
    </a:ln>
    <a:effectLst>
      <a:innerShdw blurRad="63500" dist="50800" dir="13500000">
        <a:prstClr val="black">
          <a:alpha val="50000"/>
        </a:prstClr>
      </a:inn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a:pPr>
            <a:r>
              <a:rPr lang="en-US"/>
              <a:t>Selenium</a:t>
            </a:r>
            <a:r>
              <a:rPr lang="en-US" baseline="0"/>
              <a:t> Study Phase II Results, 5 µg/L </a:t>
            </a:r>
            <a:endParaRPr lang="en-US"/>
          </a:p>
        </c:rich>
      </c:tx>
      <c:layout>
        <c:manualLayout>
          <c:xMode val="edge"/>
          <c:yMode val="edge"/>
          <c:x val="0.2242134396661962"/>
          <c:y val="3.2407295241940991E-2"/>
        </c:manualLayout>
      </c:layout>
    </c:title>
    <c:plotArea>
      <c:layout/>
      <c:barChart>
        <c:barDir val="col"/>
        <c:grouping val="clustered"/>
        <c:ser>
          <c:idx val="1"/>
          <c:order val="0"/>
          <c:dPt>
            <c:idx val="0"/>
            <c:spPr>
              <a:solidFill>
                <a:srgbClr val="FFFF00"/>
              </a:solidFill>
            </c:spPr>
          </c:dPt>
          <c:dPt>
            <c:idx val="1"/>
            <c:spPr>
              <a:solidFill>
                <a:srgbClr val="FFFF00"/>
              </a:solidFill>
            </c:spPr>
          </c:dPt>
          <c:dPt>
            <c:idx val="2"/>
            <c:spPr>
              <a:solidFill>
                <a:srgbClr val="FFFF00"/>
              </a:solidFill>
            </c:spPr>
          </c:dPt>
          <c:dPt>
            <c:idx val="3"/>
            <c:spPr>
              <a:solidFill>
                <a:srgbClr val="FFFF00"/>
              </a:solidFill>
            </c:spPr>
          </c:dPt>
          <c:dPt>
            <c:idx val="4"/>
            <c:spPr>
              <a:solidFill>
                <a:srgbClr val="FFFF00"/>
              </a:solidFill>
            </c:spPr>
          </c:dPt>
          <c:dPt>
            <c:idx val="5"/>
            <c:spPr>
              <a:solidFill>
                <a:srgbClr val="FFFF00"/>
              </a:solidFill>
            </c:spPr>
          </c:dPt>
          <c:dPt>
            <c:idx val="6"/>
            <c:spPr>
              <a:solidFill>
                <a:srgbClr val="FFFF00"/>
              </a:solidFill>
            </c:spPr>
          </c:dPt>
          <c:dPt>
            <c:idx val="7"/>
            <c:spPr>
              <a:solidFill>
                <a:srgbClr val="FFFF00"/>
              </a:solidFill>
            </c:spPr>
          </c:dPt>
          <c:dPt>
            <c:idx val="8"/>
            <c:spPr>
              <a:solidFill>
                <a:srgbClr val="FFFF00"/>
              </a:solidFill>
            </c:spPr>
          </c:dPt>
          <c:dPt>
            <c:idx val="9"/>
            <c:spPr>
              <a:solidFill>
                <a:srgbClr val="00B050"/>
              </a:solidFill>
            </c:spPr>
          </c:dPt>
          <c:dPt>
            <c:idx val="10"/>
            <c:spPr>
              <a:solidFill>
                <a:srgbClr val="00B050"/>
              </a:solidFill>
            </c:spPr>
          </c:dPt>
          <c:dPt>
            <c:idx val="11"/>
            <c:spPr>
              <a:solidFill>
                <a:srgbClr val="7030A0"/>
              </a:solidFill>
            </c:spPr>
          </c:dPt>
          <c:dPt>
            <c:idx val="13"/>
            <c:spPr>
              <a:solidFill>
                <a:srgbClr val="FF0000"/>
              </a:solidFill>
            </c:spPr>
          </c:dPt>
          <c:dPt>
            <c:idx val="14"/>
            <c:spPr>
              <a:solidFill>
                <a:srgbClr val="FFFF00"/>
              </a:solidFill>
            </c:spPr>
          </c:dPt>
          <c:dPt>
            <c:idx val="15"/>
            <c:spPr>
              <a:solidFill>
                <a:srgbClr val="00B050"/>
              </a:solidFill>
            </c:spPr>
          </c:dPt>
          <c:dPt>
            <c:idx val="16"/>
            <c:spPr>
              <a:solidFill>
                <a:srgbClr val="7030A0"/>
              </a:solidFill>
            </c:spPr>
          </c:dPt>
          <c:dLbls>
            <c:dLbl>
              <c:idx val="0"/>
              <c:dLblPos val="outEnd"/>
              <c:showVal val="1"/>
            </c:dLbl>
            <c:dLbl>
              <c:idx val="1"/>
              <c:dLblPos val="outEnd"/>
              <c:showVal val="1"/>
            </c:dLbl>
            <c:dLbl>
              <c:idx val="2"/>
              <c:dLblPos val="outEnd"/>
              <c:showVal val="1"/>
            </c:dLbl>
            <c:dLbl>
              <c:idx val="3"/>
              <c:dLblPos val="outEnd"/>
              <c:showVal val="1"/>
            </c:dLbl>
            <c:dLbl>
              <c:idx val="4"/>
              <c:dLblPos val="outEnd"/>
              <c:showVal val="1"/>
            </c:dLbl>
            <c:dLbl>
              <c:idx val="5"/>
              <c:dLblPos val="outEnd"/>
              <c:showVal val="1"/>
            </c:dLbl>
            <c:dLbl>
              <c:idx val="6"/>
              <c:tx>
                <c:rich>
                  <a:bodyPr/>
                  <a:lstStyle/>
                  <a:p>
                    <a:r>
                      <a:rPr lang="en-US"/>
                      <a:t>&lt;2</a:t>
                    </a:r>
                  </a:p>
                </c:rich>
              </c:tx>
              <c:dLblPos val="outEnd"/>
              <c:showVal val="1"/>
            </c:dLbl>
            <c:dLbl>
              <c:idx val="7"/>
              <c:dLblPos val="outEnd"/>
              <c:showVal val="1"/>
            </c:dLbl>
            <c:dLbl>
              <c:idx val="8"/>
              <c:dLblPos val="outEnd"/>
              <c:showVal val="1"/>
            </c:dLbl>
            <c:dLbl>
              <c:idx val="9"/>
              <c:dLblPos val="outEnd"/>
              <c:showVal val="1"/>
            </c:dLbl>
            <c:dLbl>
              <c:idx val="10"/>
              <c:tx>
                <c:rich>
                  <a:bodyPr/>
                  <a:lstStyle/>
                  <a:p>
                    <a:r>
                      <a:rPr lang="en-US"/>
                      <a:t>&lt;0.359</a:t>
                    </a:r>
                  </a:p>
                </c:rich>
              </c:tx>
              <c:dLblPos val="outEnd"/>
              <c:showVal val="1"/>
            </c:dLbl>
            <c:dLbl>
              <c:idx val="11"/>
              <c:showVal val="1"/>
            </c:dLbl>
            <c:dLbl>
              <c:idx val="12"/>
              <c:dLblPos val="outEnd"/>
              <c:showVal val="1"/>
            </c:dLbl>
            <c:dLbl>
              <c:idx val="13"/>
              <c:dLblPos val="outEnd"/>
              <c:showVal val="1"/>
            </c:dLbl>
            <c:dLbl>
              <c:idx val="14"/>
              <c:dLblPos val="outEnd"/>
              <c:showVal val="1"/>
            </c:dLbl>
            <c:dLbl>
              <c:idx val="15"/>
              <c:showVal val="1"/>
            </c:dLbl>
            <c:dLbl>
              <c:idx val="16"/>
              <c:showVal val="1"/>
            </c:dLbl>
            <c:delete val="1"/>
          </c:dLbls>
          <c:cat>
            <c:strRef>
              <c:f>'Phase II data'!$A$6:$A$22</c:f>
              <c:strCache>
                <c:ptCount val="17"/>
                <c:pt idx="0">
                  <c:v>Appalachian Laboratories</c:v>
                </c:pt>
                <c:pt idx="1">
                  <c:v>Appalachian States</c:v>
                </c:pt>
                <c:pt idx="2">
                  <c:v>Standard Labs (NEST)</c:v>
                </c:pt>
                <c:pt idx="3">
                  <c:v>REI Consultants</c:v>
                </c:pt>
                <c:pt idx="4">
                  <c:v>Sturm Environmental</c:v>
                </c:pt>
                <c:pt idx="5">
                  <c:v>Standard Labs (Charleston)</c:v>
                </c:pt>
                <c:pt idx="6">
                  <c:v>Acculab</c:v>
                </c:pt>
                <c:pt idx="7">
                  <c:v>Compliance Monitoring</c:v>
                </c:pt>
                <c:pt idx="8">
                  <c:v>SGS</c:v>
                </c:pt>
                <c:pt idx="9">
                  <c:v>American Elec. Power</c:v>
                </c:pt>
                <c:pt idx="10">
                  <c:v>Analabs</c:v>
                </c:pt>
                <c:pt idx="11">
                  <c:v>Tra-Det</c:v>
                </c:pt>
                <c:pt idx="13">
                  <c:v>Average, All data</c:v>
                </c:pt>
                <c:pt idx="14">
                  <c:v>Average, GFAA</c:v>
                </c:pt>
                <c:pt idx="15">
                  <c:v>Average ICP/MS</c:v>
                </c:pt>
                <c:pt idx="16">
                  <c:v>Average Hydride</c:v>
                </c:pt>
              </c:strCache>
            </c:strRef>
          </c:cat>
          <c:val>
            <c:numRef>
              <c:f>'Phase II data'!$C$6:$C$22</c:f>
              <c:numCache>
                <c:formatCode>General</c:formatCode>
                <c:ptCount val="17"/>
                <c:pt idx="0">
                  <c:v>2.36</c:v>
                </c:pt>
                <c:pt idx="1">
                  <c:v>5.3</c:v>
                </c:pt>
                <c:pt idx="2">
                  <c:v>5.04</c:v>
                </c:pt>
                <c:pt idx="3">
                  <c:v>4.5999999999999996</c:v>
                </c:pt>
                <c:pt idx="4">
                  <c:v>4.5</c:v>
                </c:pt>
                <c:pt idx="5">
                  <c:v>5</c:v>
                </c:pt>
                <c:pt idx="6">
                  <c:v>0</c:v>
                </c:pt>
                <c:pt idx="7">
                  <c:v>4.42</c:v>
                </c:pt>
                <c:pt idx="8">
                  <c:v>5</c:v>
                </c:pt>
                <c:pt idx="9">
                  <c:v>4.4000000000000004</c:v>
                </c:pt>
                <c:pt idx="10">
                  <c:v>0</c:v>
                </c:pt>
                <c:pt idx="11">
                  <c:v>4</c:v>
                </c:pt>
                <c:pt idx="13" formatCode="0.0">
                  <c:v>3.6927272727272862</c:v>
                </c:pt>
                <c:pt idx="14" formatCode="0.0">
                  <c:v>4.0244444444444447</c:v>
                </c:pt>
                <c:pt idx="15" formatCode="0.0">
                  <c:v>2.2000000000000002</c:v>
                </c:pt>
                <c:pt idx="16">
                  <c:v>4</c:v>
                </c:pt>
              </c:numCache>
            </c:numRef>
          </c:val>
        </c:ser>
        <c:axId val="124083200"/>
        <c:axId val="124084992"/>
      </c:barChart>
      <c:catAx>
        <c:axId val="124083200"/>
        <c:scaling>
          <c:orientation val="minMax"/>
        </c:scaling>
        <c:axPos val="b"/>
        <c:numFmt formatCode="General" sourceLinked="1"/>
        <c:tickLblPos val="nextTo"/>
        <c:crossAx val="124084992"/>
        <c:crosses val="autoZero"/>
        <c:auto val="1"/>
        <c:lblAlgn val="ctr"/>
        <c:lblOffset val="100"/>
        <c:tickLblSkip val="1"/>
      </c:catAx>
      <c:valAx>
        <c:axId val="124084992"/>
        <c:scaling>
          <c:orientation val="minMax"/>
        </c:scaling>
        <c:axPos val="l"/>
        <c:majorGridlines/>
        <c:title>
          <c:tx>
            <c:rich>
              <a:bodyPr rot="0" vert="horz"/>
              <a:lstStyle/>
              <a:p>
                <a:pPr>
                  <a:defRPr/>
                </a:pPr>
                <a:r>
                  <a:rPr lang="en-US"/>
                  <a:t>µg/L</a:t>
                </a:r>
              </a:p>
            </c:rich>
          </c:tx>
        </c:title>
        <c:numFmt formatCode="General" sourceLinked="1"/>
        <c:tickLblPos val="nextTo"/>
        <c:crossAx val="124083200"/>
        <c:crosses val="autoZero"/>
        <c:crossBetween val="between"/>
      </c:valAx>
    </c:plotArea>
    <c:plotVisOnly val="1"/>
    <c:dispBlanksAs val="gap"/>
  </c:chart>
  <c:spPr>
    <a:ln w="19050" cap="rnd">
      <a:solidFill>
        <a:srgbClr val="00B050"/>
      </a:solidFill>
    </a:ln>
    <a:effectLst>
      <a:innerShdw blurRad="63500" dist="50800" dir="13500000">
        <a:prstClr val="black">
          <a:alpha val="50000"/>
        </a:prstClr>
      </a:inn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a:pPr>
            <a:r>
              <a:rPr lang="en-US"/>
              <a:t>Selenium</a:t>
            </a:r>
            <a:r>
              <a:rPr lang="en-US" baseline="0"/>
              <a:t> Study Phase II % Recovery, 5 µg/L   </a:t>
            </a:r>
            <a:endParaRPr lang="en-US"/>
          </a:p>
        </c:rich>
      </c:tx>
      <c:layout>
        <c:manualLayout>
          <c:xMode val="edge"/>
          <c:yMode val="edge"/>
          <c:x val="0.18953344774210976"/>
          <c:y val="1.7657600492246163E-2"/>
        </c:manualLayout>
      </c:layout>
    </c:title>
    <c:plotArea>
      <c:layout/>
      <c:barChart>
        <c:barDir val="col"/>
        <c:grouping val="clustered"/>
        <c:ser>
          <c:idx val="0"/>
          <c:order val="0"/>
          <c:tx>
            <c:strRef>
              <c:f>'Phase II data'!$G$5</c:f>
              <c:strCache>
                <c:ptCount val="1"/>
                <c:pt idx="0">
                  <c:v>% Rec.</c:v>
                </c:pt>
              </c:strCache>
            </c:strRef>
          </c:tx>
          <c:spPr>
            <a:solidFill>
              <a:srgbClr val="FFFF00"/>
            </a:solidFill>
          </c:spPr>
          <c:dPt>
            <c:idx val="9"/>
            <c:spPr>
              <a:solidFill>
                <a:srgbClr val="00B050"/>
              </a:solidFill>
            </c:spPr>
          </c:dPt>
          <c:dPt>
            <c:idx val="10"/>
            <c:spPr>
              <a:solidFill>
                <a:srgbClr val="00B050"/>
              </a:solidFill>
            </c:spPr>
          </c:dPt>
          <c:dPt>
            <c:idx val="11"/>
            <c:spPr>
              <a:solidFill>
                <a:srgbClr val="7030A0"/>
              </a:solidFill>
            </c:spPr>
          </c:dPt>
          <c:dPt>
            <c:idx val="12"/>
            <c:spPr>
              <a:solidFill>
                <a:srgbClr val="FF0000"/>
              </a:solidFill>
            </c:spPr>
          </c:dPt>
          <c:dPt>
            <c:idx val="13"/>
            <c:spPr>
              <a:solidFill>
                <a:srgbClr val="FF0000"/>
              </a:solidFill>
            </c:spPr>
          </c:dPt>
          <c:dPt>
            <c:idx val="15"/>
            <c:spPr>
              <a:solidFill>
                <a:srgbClr val="00B050"/>
              </a:solidFill>
            </c:spPr>
          </c:dPt>
          <c:dPt>
            <c:idx val="16"/>
            <c:spPr>
              <a:solidFill>
                <a:srgbClr val="7030A0"/>
              </a:solidFill>
            </c:spPr>
          </c:dPt>
          <c:dLbls>
            <c:dLbl>
              <c:idx val="0"/>
              <c:spPr/>
              <c:txPr>
                <a:bodyPr/>
                <a:lstStyle/>
                <a:p>
                  <a:pPr>
                    <a:defRPr/>
                  </a:pPr>
                  <a:endParaRPr lang="en-US"/>
                </a:p>
              </c:txPr>
              <c:showVal val="1"/>
            </c:dLbl>
            <c:dLbl>
              <c:idx val="1"/>
              <c:spPr/>
              <c:txPr>
                <a:bodyPr/>
                <a:lstStyle/>
                <a:p>
                  <a:pPr>
                    <a:defRPr/>
                  </a:pPr>
                  <a:endParaRPr lang="en-US"/>
                </a:p>
              </c:txPr>
              <c:showVal val="1"/>
            </c:dLbl>
            <c:dLbl>
              <c:idx val="2"/>
              <c:spPr/>
              <c:txPr>
                <a:bodyPr/>
                <a:lstStyle/>
                <a:p>
                  <a:pPr>
                    <a:defRPr/>
                  </a:pPr>
                  <a:endParaRPr lang="en-US"/>
                </a:p>
              </c:txPr>
              <c:showVal val="1"/>
            </c:dLbl>
            <c:dLbl>
              <c:idx val="3"/>
              <c:spPr/>
              <c:txPr>
                <a:bodyPr/>
                <a:lstStyle/>
                <a:p>
                  <a:pPr>
                    <a:defRPr/>
                  </a:pPr>
                  <a:endParaRPr lang="en-US"/>
                </a:p>
              </c:txPr>
              <c:showVal val="1"/>
            </c:dLbl>
            <c:dLbl>
              <c:idx val="4"/>
              <c:spPr/>
              <c:txPr>
                <a:bodyPr/>
                <a:lstStyle/>
                <a:p>
                  <a:pPr>
                    <a:defRPr/>
                  </a:pPr>
                  <a:endParaRPr lang="en-US"/>
                </a:p>
              </c:txPr>
              <c:showVal val="1"/>
            </c:dLbl>
            <c:dLbl>
              <c:idx val="5"/>
              <c:spPr/>
              <c:txPr>
                <a:bodyPr/>
                <a:lstStyle/>
                <a:p>
                  <a:pPr>
                    <a:defRPr/>
                  </a:pPr>
                  <a:endParaRPr lang="en-US"/>
                </a:p>
              </c:txPr>
              <c:showVal val="1"/>
            </c:dLbl>
            <c:dLbl>
              <c:idx val="6"/>
              <c:spPr/>
              <c:txPr>
                <a:bodyPr/>
                <a:lstStyle/>
                <a:p>
                  <a:pPr>
                    <a:defRPr/>
                  </a:pPr>
                  <a:endParaRPr lang="en-US"/>
                </a:p>
              </c:txPr>
              <c:showVal val="1"/>
            </c:dLbl>
            <c:dLbl>
              <c:idx val="7"/>
              <c:spPr/>
              <c:txPr>
                <a:bodyPr/>
                <a:lstStyle/>
                <a:p>
                  <a:pPr>
                    <a:defRPr/>
                  </a:pPr>
                  <a:endParaRPr lang="en-US"/>
                </a:p>
              </c:txPr>
              <c:showVal val="1"/>
            </c:dLbl>
            <c:dLbl>
              <c:idx val="8"/>
              <c:spPr/>
              <c:txPr>
                <a:bodyPr/>
                <a:lstStyle/>
                <a:p>
                  <a:pPr>
                    <a:defRPr/>
                  </a:pPr>
                  <a:endParaRPr lang="en-US"/>
                </a:p>
              </c:txPr>
              <c:showVal val="1"/>
            </c:dLbl>
            <c:dLbl>
              <c:idx val="9"/>
              <c:spPr/>
              <c:txPr>
                <a:bodyPr/>
                <a:lstStyle/>
                <a:p>
                  <a:pPr>
                    <a:defRPr/>
                  </a:pPr>
                  <a:endParaRPr lang="en-US"/>
                </a:p>
              </c:txPr>
              <c:showVal val="1"/>
            </c:dLbl>
            <c:dLbl>
              <c:idx val="10"/>
              <c:spPr/>
              <c:txPr>
                <a:bodyPr/>
                <a:lstStyle/>
                <a:p>
                  <a:pPr>
                    <a:defRPr/>
                  </a:pPr>
                  <a:endParaRPr lang="en-US"/>
                </a:p>
              </c:txPr>
              <c:showVal val="1"/>
            </c:dLbl>
            <c:dLbl>
              <c:idx val="11"/>
              <c:spPr/>
              <c:txPr>
                <a:bodyPr/>
                <a:lstStyle/>
                <a:p>
                  <a:pPr>
                    <a:defRPr/>
                  </a:pPr>
                  <a:endParaRPr lang="en-US"/>
                </a:p>
              </c:txPr>
              <c:showVal val="1"/>
            </c:dLbl>
            <c:dLbl>
              <c:idx val="12"/>
              <c:spPr/>
              <c:txPr>
                <a:bodyPr/>
                <a:lstStyle/>
                <a:p>
                  <a:pPr>
                    <a:defRPr/>
                  </a:pPr>
                  <a:endParaRPr lang="en-US"/>
                </a:p>
              </c:txPr>
              <c:showVal val="1"/>
            </c:dLbl>
            <c:dLbl>
              <c:idx val="13"/>
              <c:showVal val="1"/>
            </c:dLbl>
            <c:dLbl>
              <c:idx val="14"/>
              <c:showVal val="1"/>
            </c:dLbl>
            <c:dLbl>
              <c:idx val="15"/>
              <c:showVal val="1"/>
            </c:dLbl>
            <c:dLbl>
              <c:idx val="16"/>
              <c:showVal val="1"/>
            </c:dLbl>
            <c:delete val="1"/>
          </c:dLbls>
          <c:cat>
            <c:strRef>
              <c:f>'Phase II data'!$A$6:$A$22</c:f>
              <c:strCache>
                <c:ptCount val="17"/>
                <c:pt idx="0">
                  <c:v>Appalachian Laboratories</c:v>
                </c:pt>
                <c:pt idx="1">
                  <c:v>Appalachian States</c:v>
                </c:pt>
                <c:pt idx="2">
                  <c:v>Standard Labs (NEST)</c:v>
                </c:pt>
                <c:pt idx="3">
                  <c:v>REI Consultants</c:v>
                </c:pt>
                <c:pt idx="4">
                  <c:v>Sturm Environmental</c:v>
                </c:pt>
                <c:pt idx="5">
                  <c:v>Standard Labs (Charleston)</c:v>
                </c:pt>
                <c:pt idx="6">
                  <c:v>Acculab</c:v>
                </c:pt>
                <c:pt idx="7">
                  <c:v>Compliance Monitoring</c:v>
                </c:pt>
                <c:pt idx="8">
                  <c:v>SGS</c:v>
                </c:pt>
                <c:pt idx="9">
                  <c:v>American Elec. Power</c:v>
                </c:pt>
                <c:pt idx="10">
                  <c:v>Analabs</c:v>
                </c:pt>
                <c:pt idx="11">
                  <c:v>Tra-Det</c:v>
                </c:pt>
                <c:pt idx="13">
                  <c:v>Average, All data</c:v>
                </c:pt>
                <c:pt idx="14">
                  <c:v>Average, GFAA</c:v>
                </c:pt>
                <c:pt idx="15">
                  <c:v>Average ICP/MS</c:v>
                </c:pt>
                <c:pt idx="16">
                  <c:v>Average Hydride</c:v>
                </c:pt>
              </c:strCache>
            </c:strRef>
          </c:cat>
          <c:val>
            <c:numRef>
              <c:f>'Phase II data'!$G$6:$G$22</c:f>
              <c:numCache>
                <c:formatCode>0.0</c:formatCode>
                <c:ptCount val="17"/>
                <c:pt idx="0">
                  <c:v>47.20000000000001</c:v>
                </c:pt>
                <c:pt idx="1">
                  <c:v>106</c:v>
                </c:pt>
                <c:pt idx="2">
                  <c:v>100.8</c:v>
                </c:pt>
                <c:pt idx="3">
                  <c:v>92</c:v>
                </c:pt>
                <c:pt idx="4">
                  <c:v>90</c:v>
                </c:pt>
                <c:pt idx="5">
                  <c:v>100</c:v>
                </c:pt>
                <c:pt idx="6">
                  <c:v>0</c:v>
                </c:pt>
                <c:pt idx="7">
                  <c:v>88.4</c:v>
                </c:pt>
                <c:pt idx="8">
                  <c:v>100</c:v>
                </c:pt>
                <c:pt idx="9">
                  <c:v>88.000000000000014</c:v>
                </c:pt>
                <c:pt idx="10">
                  <c:v>0</c:v>
                </c:pt>
                <c:pt idx="11">
                  <c:v>80</c:v>
                </c:pt>
                <c:pt idx="13">
                  <c:v>73.854545454545473</c:v>
                </c:pt>
                <c:pt idx="14">
                  <c:v>80.488888888888297</c:v>
                </c:pt>
                <c:pt idx="15">
                  <c:v>44.000000000000007</c:v>
                </c:pt>
                <c:pt idx="16">
                  <c:v>80</c:v>
                </c:pt>
              </c:numCache>
            </c:numRef>
          </c:val>
        </c:ser>
        <c:axId val="124233600"/>
        <c:axId val="124235136"/>
      </c:barChart>
      <c:catAx>
        <c:axId val="124233600"/>
        <c:scaling>
          <c:orientation val="minMax"/>
        </c:scaling>
        <c:axPos val="b"/>
        <c:numFmt formatCode="General" sourceLinked="1"/>
        <c:tickLblPos val="nextTo"/>
        <c:crossAx val="124235136"/>
        <c:crosses val="autoZero"/>
        <c:auto val="1"/>
        <c:lblAlgn val="ctr"/>
        <c:lblOffset val="100"/>
        <c:tickLblSkip val="1"/>
      </c:catAx>
      <c:valAx>
        <c:axId val="124235136"/>
        <c:scaling>
          <c:orientation val="minMax"/>
        </c:scaling>
        <c:axPos val="l"/>
        <c:majorGridlines/>
        <c:title>
          <c:tx>
            <c:rich>
              <a:bodyPr rot="0" vert="wordArtVert"/>
              <a:lstStyle/>
              <a:p>
                <a:pPr>
                  <a:defRPr/>
                </a:pPr>
                <a:r>
                  <a:rPr lang="en-US"/>
                  <a:t>% Recovery</a:t>
                </a:r>
              </a:p>
            </c:rich>
          </c:tx>
        </c:title>
        <c:numFmt formatCode="0.0" sourceLinked="1"/>
        <c:tickLblPos val="nextTo"/>
        <c:crossAx val="124233600"/>
        <c:crosses val="autoZero"/>
        <c:crossBetween val="between"/>
      </c:valAx>
    </c:plotArea>
    <c:plotVisOnly val="1"/>
    <c:dispBlanksAs val="gap"/>
  </c:chart>
  <c:spPr>
    <a:ln w="19050" cap="rnd">
      <a:solidFill>
        <a:srgbClr val="00B050"/>
      </a:solidFill>
    </a:ln>
    <a:effectLst>
      <a:innerShdw blurRad="63500" dist="50800" dir="13500000">
        <a:prstClr val="black">
          <a:alpha val="50000"/>
        </a:prstClr>
      </a:inn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a:pPr>
            <a:r>
              <a:rPr lang="en-US"/>
              <a:t>Selenium</a:t>
            </a:r>
            <a:r>
              <a:rPr lang="en-US" baseline="0"/>
              <a:t> Study Phase III Results, 5 µg/L </a:t>
            </a:r>
            <a:endParaRPr lang="en-US"/>
          </a:p>
        </c:rich>
      </c:tx>
      <c:layout>
        <c:manualLayout>
          <c:xMode val="edge"/>
          <c:yMode val="edge"/>
          <c:x val="0.23062369607645203"/>
          <c:y val="3.2407295241940977E-2"/>
        </c:manualLayout>
      </c:layout>
    </c:title>
    <c:plotArea>
      <c:layout/>
      <c:barChart>
        <c:barDir val="col"/>
        <c:grouping val="clustered"/>
        <c:ser>
          <c:idx val="1"/>
          <c:order val="0"/>
          <c:dPt>
            <c:idx val="0"/>
            <c:spPr>
              <a:solidFill>
                <a:srgbClr val="FFFF00"/>
              </a:solidFill>
            </c:spPr>
          </c:dPt>
          <c:dPt>
            <c:idx val="1"/>
            <c:spPr>
              <a:solidFill>
                <a:srgbClr val="FFFF00"/>
              </a:solidFill>
            </c:spPr>
          </c:dPt>
          <c:dPt>
            <c:idx val="2"/>
            <c:spPr>
              <a:solidFill>
                <a:srgbClr val="FFFF00"/>
              </a:solidFill>
            </c:spPr>
          </c:dPt>
          <c:dPt>
            <c:idx val="3"/>
            <c:spPr>
              <a:solidFill>
                <a:srgbClr val="FFFF00"/>
              </a:solidFill>
            </c:spPr>
          </c:dPt>
          <c:dPt>
            <c:idx val="4"/>
            <c:spPr>
              <a:solidFill>
                <a:srgbClr val="FFFF00"/>
              </a:solidFill>
            </c:spPr>
          </c:dPt>
          <c:dPt>
            <c:idx val="5"/>
            <c:spPr>
              <a:solidFill>
                <a:srgbClr val="7030A0"/>
              </a:solidFill>
            </c:spPr>
          </c:dPt>
          <c:dPt>
            <c:idx val="6"/>
            <c:spPr>
              <a:solidFill>
                <a:srgbClr val="7030A0"/>
              </a:solidFill>
            </c:spPr>
          </c:dPt>
          <c:dPt>
            <c:idx val="7"/>
            <c:spPr>
              <a:solidFill>
                <a:srgbClr val="FF0000"/>
              </a:solidFill>
            </c:spPr>
          </c:dPt>
          <c:dPt>
            <c:idx val="8"/>
            <c:spPr>
              <a:solidFill>
                <a:srgbClr val="FF0000"/>
              </a:solidFill>
            </c:spPr>
          </c:dPt>
          <c:dPt>
            <c:idx val="9"/>
            <c:spPr>
              <a:solidFill>
                <a:srgbClr val="FFFF00"/>
              </a:solidFill>
            </c:spPr>
          </c:dPt>
          <c:dPt>
            <c:idx val="10"/>
            <c:spPr>
              <a:solidFill>
                <a:srgbClr val="7030A0"/>
              </a:solidFill>
            </c:spPr>
          </c:dPt>
          <c:dPt>
            <c:idx val="11"/>
            <c:spPr>
              <a:solidFill>
                <a:srgbClr val="0070C0"/>
              </a:solidFill>
            </c:spPr>
          </c:dPt>
          <c:dPt>
            <c:idx val="12"/>
            <c:spPr>
              <a:solidFill>
                <a:srgbClr val="0070C0"/>
              </a:solidFill>
            </c:spPr>
          </c:dPt>
          <c:dLbls>
            <c:dLbl>
              <c:idx val="0"/>
              <c:dLblPos val="outEnd"/>
              <c:showVal val="1"/>
            </c:dLbl>
            <c:dLbl>
              <c:idx val="1"/>
              <c:dLblPos val="outEnd"/>
              <c:showVal val="1"/>
            </c:dLbl>
            <c:dLbl>
              <c:idx val="2"/>
              <c:dLblPos val="outEnd"/>
              <c:showVal val="1"/>
            </c:dLbl>
            <c:dLbl>
              <c:idx val="3"/>
              <c:dLblPos val="outEnd"/>
              <c:showVal val="1"/>
            </c:dLbl>
            <c:dLbl>
              <c:idx val="4"/>
              <c:dLblPos val="outEnd"/>
              <c:showVal val="1"/>
            </c:dLbl>
            <c:dLbl>
              <c:idx val="5"/>
              <c:dLblPos val="outEnd"/>
              <c:showVal val="1"/>
            </c:dLbl>
            <c:dLbl>
              <c:idx val="6"/>
              <c:dLblPos val="outEnd"/>
              <c:showVal val="1"/>
            </c:dLbl>
            <c:dLbl>
              <c:idx val="7"/>
              <c:dLblPos val="outEnd"/>
              <c:showVal val="1"/>
            </c:dLbl>
            <c:dLbl>
              <c:idx val="8"/>
              <c:dLblPos val="outEnd"/>
              <c:showVal val="1"/>
            </c:dLbl>
            <c:dLbl>
              <c:idx val="9"/>
              <c:dLblPos val="outEnd"/>
              <c:showVal val="1"/>
            </c:dLbl>
            <c:dLbl>
              <c:idx val="10"/>
              <c:dLblPos val="outEnd"/>
              <c:showVal val="1"/>
            </c:dLbl>
            <c:dLbl>
              <c:idx val="11"/>
              <c:showVal val="1"/>
            </c:dLbl>
            <c:dLbl>
              <c:idx val="12"/>
              <c:dLblPos val="outEnd"/>
              <c:showVal val="1"/>
            </c:dLbl>
            <c:dLbl>
              <c:idx val="13"/>
              <c:dLblPos val="outEnd"/>
              <c:showVal val="1"/>
            </c:dLbl>
            <c:dLbl>
              <c:idx val="14"/>
              <c:dLblPos val="outEnd"/>
              <c:showVal val="1"/>
            </c:dLbl>
            <c:delete val="1"/>
          </c:dLbls>
          <c:cat>
            <c:strRef>
              <c:f>'Phase III data'!$A$6:$A$18</c:f>
              <c:strCache>
                <c:ptCount val="13"/>
                <c:pt idx="0">
                  <c:v>Appalachian Laboratories</c:v>
                </c:pt>
                <c:pt idx="1">
                  <c:v>Standard Labs (NEST)</c:v>
                </c:pt>
                <c:pt idx="2">
                  <c:v>REI Consultants</c:v>
                </c:pt>
                <c:pt idx="3">
                  <c:v>Acculab</c:v>
                </c:pt>
                <c:pt idx="4">
                  <c:v>Compliance Monitoring</c:v>
                </c:pt>
                <c:pt idx="5">
                  <c:v>Tra-Det</c:v>
                </c:pt>
                <c:pt idx="6">
                  <c:v>Tra-Det (DUP)</c:v>
                </c:pt>
                <c:pt idx="8">
                  <c:v>Average, All data</c:v>
                </c:pt>
                <c:pt idx="9">
                  <c:v>Average, GFAA</c:v>
                </c:pt>
                <c:pt idx="10">
                  <c:v>Average Hydride</c:v>
                </c:pt>
                <c:pt idx="12">
                  <c:v>Referee</c:v>
                </c:pt>
              </c:strCache>
            </c:strRef>
          </c:cat>
          <c:val>
            <c:numRef>
              <c:f>'Phase III data'!$C$6:$C$18</c:f>
              <c:numCache>
                <c:formatCode>General</c:formatCode>
                <c:ptCount val="13"/>
                <c:pt idx="0">
                  <c:v>4.63</c:v>
                </c:pt>
                <c:pt idx="1">
                  <c:v>4.01</c:v>
                </c:pt>
                <c:pt idx="2">
                  <c:v>6.4</c:v>
                </c:pt>
                <c:pt idx="3">
                  <c:v>0</c:v>
                </c:pt>
                <c:pt idx="4">
                  <c:v>3.9699999999999998</c:v>
                </c:pt>
                <c:pt idx="5">
                  <c:v>5.8</c:v>
                </c:pt>
                <c:pt idx="6">
                  <c:v>5.7</c:v>
                </c:pt>
                <c:pt idx="8" formatCode="0.0">
                  <c:v>4.3585714285714285</c:v>
                </c:pt>
                <c:pt idx="9" formatCode="0.0">
                  <c:v>3.8019999999999987</c:v>
                </c:pt>
                <c:pt idx="10">
                  <c:v>5.75</c:v>
                </c:pt>
                <c:pt idx="12">
                  <c:v>4.9000000000000004</c:v>
                </c:pt>
              </c:numCache>
            </c:numRef>
          </c:val>
        </c:ser>
        <c:axId val="124198272"/>
        <c:axId val="124466304"/>
      </c:barChart>
      <c:catAx>
        <c:axId val="124198272"/>
        <c:scaling>
          <c:orientation val="minMax"/>
        </c:scaling>
        <c:axPos val="b"/>
        <c:numFmt formatCode="General" sourceLinked="1"/>
        <c:tickLblPos val="nextTo"/>
        <c:crossAx val="124466304"/>
        <c:crosses val="autoZero"/>
        <c:auto val="1"/>
        <c:lblAlgn val="ctr"/>
        <c:lblOffset val="100"/>
        <c:tickLblSkip val="1"/>
      </c:catAx>
      <c:valAx>
        <c:axId val="124466304"/>
        <c:scaling>
          <c:orientation val="minMax"/>
        </c:scaling>
        <c:axPos val="l"/>
        <c:majorGridlines/>
        <c:title>
          <c:tx>
            <c:rich>
              <a:bodyPr rot="0" vert="horz"/>
              <a:lstStyle/>
              <a:p>
                <a:pPr>
                  <a:defRPr/>
                </a:pPr>
                <a:r>
                  <a:rPr lang="en-US"/>
                  <a:t>µg/L</a:t>
                </a:r>
              </a:p>
            </c:rich>
          </c:tx>
        </c:title>
        <c:numFmt formatCode="General" sourceLinked="1"/>
        <c:tickLblPos val="nextTo"/>
        <c:crossAx val="124198272"/>
        <c:crosses val="autoZero"/>
        <c:crossBetween val="between"/>
      </c:valAx>
    </c:plotArea>
    <c:plotVisOnly val="1"/>
    <c:dispBlanksAs val="gap"/>
  </c:chart>
  <c:spPr>
    <a:ln w="19050" cap="rnd">
      <a:solidFill>
        <a:srgbClr val="00B050"/>
      </a:solidFill>
    </a:ln>
    <a:effectLst>
      <a:innerShdw blurRad="63500" dist="50800" dir="13500000">
        <a:prstClr val="black">
          <a:alpha val="50000"/>
        </a:prstClr>
      </a:inn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a:pPr>
            <a:r>
              <a:rPr lang="en-US"/>
              <a:t>Selenium</a:t>
            </a:r>
            <a:r>
              <a:rPr lang="en-US" baseline="0"/>
              <a:t> Study Phase III % Recovery, 5 µg/L   </a:t>
            </a:r>
            <a:endParaRPr lang="en-US"/>
          </a:p>
        </c:rich>
      </c:tx>
      <c:layout>
        <c:manualLayout>
          <c:xMode val="edge"/>
          <c:yMode val="edge"/>
          <c:x val="0.21971497703412196"/>
          <c:y val="2.0099675040620012E-2"/>
        </c:manualLayout>
      </c:layout>
    </c:title>
    <c:plotArea>
      <c:layout/>
      <c:barChart>
        <c:barDir val="col"/>
        <c:grouping val="clustered"/>
        <c:ser>
          <c:idx val="0"/>
          <c:order val="0"/>
          <c:tx>
            <c:strRef>
              <c:f>'Phase III data'!$F$5</c:f>
              <c:strCache>
                <c:ptCount val="1"/>
                <c:pt idx="0">
                  <c:v>% Rec.</c:v>
                </c:pt>
              </c:strCache>
            </c:strRef>
          </c:tx>
          <c:spPr>
            <a:solidFill>
              <a:srgbClr val="FFFF00"/>
            </a:solidFill>
          </c:spPr>
          <c:dPt>
            <c:idx val="5"/>
            <c:spPr>
              <a:solidFill>
                <a:srgbClr val="7030A0"/>
              </a:solidFill>
            </c:spPr>
          </c:dPt>
          <c:dPt>
            <c:idx val="6"/>
            <c:spPr>
              <a:solidFill>
                <a:srgbClr val="7030A0"/>
              </a:solidFill>
            </c:spPr>
          </c:dPt>
          <c:dPt>
            <c:idx val="7"/>
            <c:spPr>
              <a:solidFill>
                <a:srgbClr val="FF0000"/>
              </a:solidFill>
            </c:spPr>
          </c:dPt>
          <c:dPt>
            <c:idx val="8"/>
            <c:spPr>
              <a:solidFill>
                <a:srgbClr val="FF0000"/>
              </a:solidFill>
            </c:spPr>
          </c:dPt>
          <c:dPt>
            <c:idx val="10"/>
            <c:spPr>
              <a:solidFill>
                <a:srgbClr val="7030A0"/>
              </a:solidFill>
            </c:spPr>
          </c:dPt>
          <c:dPt>
            <c:idx val="11"/>
            <c:spPr>
              <a:solidFill>
                <a:srgbClr val="0070C0"/>
              </a:solidFill>
            </c:spPr>
          </c:dPt>
          <c:dPt>
            <c:idx val="12"/>
            <c:spPr>
              <a:solidFill>
                <a:srgbClr val="0070C0"/>
              </a:solidFill>
            </c:spPr>
          </c:dPt>
          <c:dLbls>
            <c:dLbl>
              <c:idx val="0"/>
              <c:spPr/>
              <c:txPr>
                <a:bodyPr/>
                <a:lstStyle/>
                <a:p>
                  <a:pPr>
                    <a:defRPr/>
                  </a:pPr>
                  <a:endParaRPr lang="en-US"/>
                </a:p>
              </c:txPr>
              <c:showVal val="1"/>
            </c:dLbl>
            <c:dLbl>
              <c:idx val="1"/>
              <c:spPr/>
              <c:txPr>
                <a:bodyPr/>
                <a:lstStyle/>
                <a:p>
                  <a:pPr>
                    <a:defRPr/>
                  </a:pPr>
                  <a:endParaRPr lang="en-US"/>
                </a:p>
              </c:txPr>
              <c:showVal val="1"/>
            </c:dLbl>
            <c:dLbl>
              <c:idx val="2"/>
              <c:spPr/>
              <c:txPr>
                <a:bodyPr/>
                <a:lstStyle/>
                <a:p>
                  <a:pPr>
                    <a:defRPr/>
                  </a:pPr>
                  <a:endParaRPr lang="en-US"/>
                </a:p>
              </c:txPr>
              <c:showVal val="1"/>
            </c:dLbl>
            <c:dLbl>
              <c:idx val="3"/>
              <c:spPr/>
              <c:txPr>
                <a:bodyPr/>
                <a:lstStyle/>
                <a:p>
                  <a:pPr>
                    <a:defRPr/>
                  </a:pPr>
                  <a:endParaRPr lang="en-US"/>
                </a:p>
              </c:txPr>
              <c:showVal val="1"/>
            </c:dLbl>
            <c:dLbl>
              <c:idx val="4"/>
              <c:spPr/>
              <c:txPr>
                <a:bodyPr/>
                <a:lstStyle/>
                <a:p>
                  <a:pPr>
                    <a:defRPr/>
                  </a:pPr>
                  <a:endParaRPr lang="en-US"/>
                </a:p>
              </c:txPr>
              <c:showVal val="1"/>
            </c:dLbl>
            <c:dLbl>
              <c:idx val="5"/>
              <c:spPr/>
              <c:txPr>
                <a:bodyPr/>
                <a:lstStyle/>
                <a:p>
                  <a:pPr>
                    <a:defRPr/>
                  </a:pPr>
                  <a:endParaRPr lang="en-US"/>
                </a:p>
              </c:txPr>
              <c:showVal val="1"/>
            </c:dLbl>
            <c:dLbl>
              <c:idx val="6"/>
              <c:spPr/>
              <c:txPr>
                <a:bodyPr/>
                <a:lstStyle/>
                <a:p>
                  <a:pPr>
                    <a:defRPr/>
                  </a:pPr>
                  <a:endParaRPr lang="en-US"/>
                </a:p>
              </c:txPr>
              <c:showVal val="1"/>
            </c:dLbl>
            <c:dLbl>
              <c:idx val="7"/>
              <c:spPr/>
              <c:txPr>
                <a:bodyPr/>
                <a:lstStyle/>
                <a:p>
                  <a:pPr>
                    <a:defRPr/>
                  </a:pPr>
                  <a:endParaRPr lang="en-US"/>
                </a:p>
              </c:txPr>
              <c:showVal val="1"/>
            </c:dLbl>
            <c:dLbl>
              <c:idx val="8"/>
              <c:spPr/>
              <c:txPr>
                <a:bodyPr/>
                <a:lstStyle/>
                <a:p>
                  <a:pPr>
                    <a:defRPr/>
                  </a:pPr>
                  <a:endParaRPr lang="en-US"/>
                </a:p>
              </c:txPr>
              <c:showVal val="1"/>
            </c:dLbl>
            <c:dLbl>
              <c:idx val="9"/>
              <c:spPr/>
              <c:txPr>
                <a:bodyPr/>
                <a:lstStyle/>
                <a:p>
                  <a:pPr>
                    <a:defRPr/>
                  </a:pPr>
                  <a:endParaRPr lang="en-US"/>
                </a:p>
              </c:txPr>
              <c:showVal val="1"/>
            </c:dLbl>
            <c:dLbl>
              <c:idx val="10"/>
              <c:spPr/>
              <c:txPr>
                <a:bodyPr/>
                <a:lstStyle/>
                <a:p>
                  <a:pPr>
                    <a:defRPr/>
                  </a:pPr>
                  <a:endParaRPr lang="en-US"/>
                </a:p>
              </c:txPr>
              <c:showVal val="1"/>
            </c:dLbl>
            <c:dLbl>
              <c:idx val="11"/>
              <c:spPr/>
              <c:txPr>
                <a:bodyPr/>
                <a:lstStyle/>
                <a:p>
                  <a:pPr>
                    <a:defRPr/>
                  </a:pPr>
                  <a:endParaRPr lang="en-US"/>
                </a:p>
              </c:txPr>
              <c:showVal val="1"/>
            </c:dLbl>
            <c:dLbl>
              <c:idx val="12"/>
              <c:spPr/>
              <c:txPr>
                <a:bodyPr/>
                <a:lstStyle/>
                <a:p>
                  <a:pPr>
                    <a:defRPr/>
                  </a:pPr>
                  <a:endParaRPr lang="en-US"/>
                </a:p>
              </c:txPr>
              <c:showVal val="1"/>
            </c:dLbl>
            <c:dLbl>
              <c:idx val="13"/>
              <c:showVal val="1"/>
            </c:dLbl>
            <c:dLbl>
              <c:idx val="14"/>
              <c:showVal val="1"/>
            </c:dLbl>
            <c:delete val="1"/>
          </c:dLbls>
          <c:cat>
            <c:strRef>
              <c:f>'Phase III data'!$A$6:$A$18</c:f>
              <c:strCache>
                <c:ptCount val="13"/>
                <c:pt idx="0">
                  <c:v>Appalachian Laboratories</c:v>
                </c:pt>
                <c:pt idx="1">
                  <c:v>Standard Labs (NEST)</c:v>
                </c:pt>
                <c:pt idx="2">
                  <c:v>REI Consultants</c:v>
                </c:pt>
                <c:pt idx="3">
                  <c:v>Acculab</c:v>
                </c:pt>
                <c:pt idx="4">
                  <c:v>Compliance Monitoring</c:v>
                </c:pt>
                <c:pt idx="5">
                  <c:v>Tra-Det</c:v>
                </c:pt>
                <c:pt idx="6">
                  <c:v>Tra-Det (DUP)</c:v>
                </c:pt>
                <c:pt idx="8">
                  <c:v>Average, All data</c:v>
                </c:pt>
                <c:pt idx="9">
                  <c:v>Average, GFAA</c:v>
                </c:pt>
                <c:pt idx="10">
                  <c:v>Average Hydride</c:v>
                </c:pt>
                <c:pt idx="12">
                  <c:v>Referee(ICP/MS)</c:v>
                </c:pt>
              </c:strCache>
            </c:strRef>
          </c:cat>
          <c:val>
            <c:numRef>
              <c:f>'Phase III data'!$F$6:$F$18</c:f>
              <c:numCache>
                <c:formatCode>0.0</c:formatCode>
                <c:ptCount val="13"/>
                <c:pt idx="0">
                  <c:v>92.6</c:v>
                </c:pt>
                <c:pt idx="1">
                  <c:v>80.2</c:v>
                </c:pt>
                <c:pt idx="2">
                  <c:v>128</c:v>
                </c:pt>
                <c:pt idx="3">
                  <c:v>0</c:v>
                </c:pt>
                <c:pt idx="4">
                  <c:v>79.400000000000006</c:v>
                </c:pt>
                <c:pt idx="5">
                  <c:v>116</c:v>
                </c:pt>
                <c:pt idx="6">
                  <c:v>114.00000000000001</c:v>
                </c:pt>
                <c:pt idx="8">
                  <c:v>87.171428571428365</c:v>
                </c:pt>
                <c:pt idx="9">
                  <c:v>76.039999999999992</c:v>
                </c:pt>
                <c:pt idx="10">
                  <c:v>115</c:v>
                </c:pt>
                <c:pt idx="12">
                  <c:v>98.000000000000014</c:v>
                </c:pt>
              </c:numCache>
            </c:numRef>
          </c:val>
        </c:ser>
        <c:axId val="124631296"/>
        <c:axId val="124637184"/>
      </c:barChart>
      <c:catAx>
        <c:axId val="124631296"/>
        <c:scaling>
          <c:orientation val="minMax"/>
        </c:scaling>
        <c:axPos val="b"/>
        <c:numFmt formatCode="General" sourceLinked="1"/>
        <c:tickLblPos val="nextTo"/>
        <c:txPr>
          <a:bodyPr rot="-2700000"/>
          <a:lstStyle/>
          <a:p>
            <a:pPr>
              <a:defRPr/>
            </a:pPr>
            <a:endParaRPr lang="en-US"/>
          </a:p>
        </c:txPr>
        <c:crossAx val="124637184"/>
        <c:crosses val="autoZero"/>
        <c:auto val="1"/>
        <c:lblAlgn val="ctr"/>
        <c:lblOffset val="100"/>
        <c:tickLblSkip val="1"/>
      </c:catAx>
      <c:valAx>
        <c:axId val="124637184"/>
        <c:scaling>
          <c:orientation val="minMax"/>
        </c:scaling>
        <c:axPos val="l"/>
        <c:majorGridlines/>
        <c:title>
          <c:tx>
            <c:rich>
              <a:bodyPr rot="0" vert="wordArtVert"/>
              <a:lstStyle/>
              <a:p>
                <a:pPr>
                  <a:defRPr/>
                </a:pPr>
                <a:r>
                  <a:rPr lang="en-US"/>
                  <a:t>% Recovery</a:t>
                </a:r>
              </a:p>
            </c:rich>
          </c:tx>
        </c:title>
        <c:numFmt formatCode="0.0" sourceLinked="1"/>
        <c:tickLblPos val="nextTo"/>
        <c:crossAx val="124631296"/>
        <c:crosses val="autoZero"/>
        <c:crossBetween val="between"/>
      </c:valAx>
    </c:plotArea>
    <c:plotVisOnly val="1"/>
    <c:dispBlanksAs val="gap"/>
  </c:chart>
  <c:spPr>
    <a:ln w="19050" cap="rnd">
      <a:solidFill>
        <a:srgbClr val="00B050"/>
      </a:solidFill>
    </a:ln>
    <a:effectLst>
      <a:innerShdw blurRad="63500" dist="50800" dir="13500000">
        <a:prstClr val="black">
          <a:alpha val="50000"/>
        </a:prstClr>
      </a:inn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a:pPr>
            <a:r>
              <a:rPr lang="en-US"/>
              <a:t>Selenium</a:t>
            </a:r>
            <a:r>
              <a:rPr lang="en-US" baseline="0"/>
              <a:t> Study Phase III Results, 20 µg/L </a:t>
            </a:r>
            <a:endParaRPr lang="en-US"/>
          </a:p>
        </c:rich>
      </c:tx>
      <c:layout>
        <c:manualLayout>
          <c:xMode val="edge"/>
          <c:yMode val="edge"/>
          <c:x val="0.18147839693115339"/>
          <c:y val="2.9965292799938467E-2"/>
        </c:manualLayout>
      </c:layout>
    </c:title>
    <c:plotArea>
      <c:layout/>
      <c:barChart>
        <c:barDir val="col"/>
        <c:grouping val="clustered"/>
        <c:ser>
          <c:idx val="1"/>
          <c:order val="0"/>
          <c:dPt>
            <c:idx val="0"/>
            <c:spPr>
              <a:solidFill>
                <a:srgbClr val="FFFF00"/>
              </a:solidFill>
            </c:spPr>
          </c:dPt>
          <c:dPt>
            <c:idx val="1"/>
            <c:spPr>
              <a:solidFill>
                <a:srgbClr val="FFFF00"/>
              </a:solidFill>
            </c:spPr>
          </c:dPt>
          <c:dPt>
            <c:idx val="2"/>
            <c:spPr>
              <a:solidFill>
                <a:srgbClr val="FFFF00"/>
              </a:solidFill>
            </c:spPr>
          </c:dPt>
          <c:dPt>
            <c:idx val="3"/>
            <c:spPr>
              <a:solidFill>
                <a:srgbClr val="FFFF00"/>
              </a:solidFill>
            </c:spPr>
          </c:dPt>
          <c:dPt>
            <c:idx val="4"/>
            <c:spPr>
              <a:solidFill>
                <a:srgbClr val="FFFF00"/>
              </a:solidFill>
            </c:spPr>
          </c:dPt>
          <c:dPt>
            <c:idx val="5"/>
            <c:spPr>
              <a:solidFill>
                <a:srgbClr val="FFFF00"/>
              </a:solidFill>
            </c:spPr>
          </c:dPt>
          <c:dPt>
            <c:idx val="6"/>
            <c:spPr>
              <a:solidFill>
                <a:srgbClr val="FFFF00"/>
              </a:solidFill>
            </c:spPr>
          </c:dPt>
          <c:dPt>
            <c:idx val="7"/>
            <c:spPr>
              <a:solidFill>
                <a:srgbClr val="00B050"/>
              </a:solidFill>
            </c:spPr>
          </c:dPt>
          <c:dPt>
            <c:idx val="8"/>
            <c:spPr>
              <a:solidFill>
                <a:srgbClr val="FF0000"/>
              </a:solidFill>
            </c:spPr>
          </c:dPt>
          <c:dPt>
            <c:idx val="9"/>
            <c:spPr>
              <a:solidFill>
                <a:srgbClr val="FFFF00"/>
              </a:solidFill>
            </c:spPr>
          </c:dPt>
          <c:dPt>
            <c:idx val="10"/>
            <c:spPr>
              <a:solidFill>
                <a:srgbClr val="7030A0"/>
              </a:solidFill>
            </c:spPr>
          </c:dPt>
          <c:dPt>
            <c:idx val="11"/>
            <c:spPr>
              <a:solidFill>
                <a:srgbClr val="0070C0"/>
              </a:solidFill>
            </c:spPr>
          </c:dPt>
          <c:dLbls>
            <c:dLbl>
              <c:idx val="0"/>
              <c:dLblPos val="outEnd"/>
              <c:showVal val="1"/>
            </c:dLbl>
            <c:dLbl>
              <c:idx val="1"/>
              <c:dLblPos val="outEnd"/>
              <c:showVal val="1"/>
            </c:dLbl>
            <c:dLbl>
              <c:idx val="2"/>
              <c:dLblPos val="outEnd"/>
              <c:showVal val="1"/>
            </c:dLbl>
            <c:dLbl>
              <c:idx val="3"/>
              <c:dLblPos val="outEnd"/>
              <c:showVal val="1"/>
            </c:dLbl>
            <c:dLbl>
              <c:idx val="4"/>
              <c:dLblPos val="outEnd"/>
              <c:showVal val="1"/>
            </c:dLbl>
            <c:dLbl>
              <c:idx val="5"/>
              <c:dLblPos val="outEnd"/>
              <c:showVal val="1"/>
            </c:dLbl>
            <c:dLbl>
              <c:idx val="6"/>
              <c:dLblPos val="outEnd"/>
              <c:showVal val="1"/>
            </c:dLbl>
            <c:dLbl>
              <c:idx val="7"/>
              <c:dLblPos val="outEnd"/>
              <c:showVal val="1"/>
            </c:dLbl>
            <c:dLbl>
              <c:idx val="8"/>
              <c:dLblPos val="outEnd"/>
              <c:showVal val="1"/>
            </c:dLbl>
            <c:dLbl>
              <c:idx val="9"/>
              <c:dLblPos val="outEnd"/>
              <c:showVal val="1"/>
            </c:dLbl>
            <c:dLbl>
              <c:idx val="10"/>
              <c:tx>
                <c:rich>
                  <a:bodyPr/>
                  <a:lstStyle/>
                  <a:p>
                    <a:r>
                      <a:rPr lang="en-US"/>
                      <a:t>15.6</a:t>
                    </a:r>
                  </a:p>
                </c:rich>
              </c:tx>
              <c:dLblPos val="outEnd"/>
              <c:showVal val="1"/>
            </c:dLbl>
            <c:dLbl>
              <c:idx val="12"/>
              <c:dLblPos val="outEnd"/>
              <c:showVal val="1"/>
            </c:dLbl>
            <c:dLbl>
              <c:idx val="13"/>
              <c:dLblPos val="outEnd"/>
              <c:showVal val="1"/>
            </c:dLbl>
            <c:dLbl>
              <c:idx val="14"/>
              <c:dLblPos val="outEnd"/>
              <c:showVal val="1"/>
            </c:dLbl>
            <c:showVal val="1"/>
          </c:dLbls>
          <c:cat>
            <c:strRef>
              <c:f>'Phase III data'!$A$6:$A$17</c:f>
              <c:strCache>
                <c:ptCount val="12"/>
                <c:pt idx="0">
                  <c:v>Appalachian Laboratories</c:v>
                </c:pt>
                <c:pt idx="1">
                  <c:v>Standard Labs (NEST)</c:v>
                </c:pt>
                <c:pt idx="2">
                  <c:v>REI Consultants</c:v>
                </c:pt>
                <c:pt idx="3">
                  <c:v>Sturm Environmental</c:v>
                </c:pt>
                <c:pt idx="4">
                  <c:v>Sturm Environmental</c:v>
                </c:pt>
                <c:pt idx="5">
                  <c:v>Acculab</c:v>
                </c:pt>
                <c:pt idx="6">
                  <c:v>Compliance Monitoring</c:v>
                </c:pt>
                <c:pt idx="8">
                  <c:v>Average, All data</c:v>
                </c:pt>
                <c:pt idx="9">
                  <c:v>Average, GFAA</c:v>
                </c:pt>
                <c:pt idx="11">
                  <c:v>Referee</c:v>
                </c:pt>
              </c:strCache>
            </c:strRef>
          </c:cat>
          <c:val>
            <c:numRef>
              <c:f>'Phase III data'!$C$6:$C$17</c:f>
              <c:numCache>
                <c:formatCode>General</c:formatCode>
                <c:ptCount val="12"/>
                <c:pt idx="0">
                  <c:v>19</c:v>
                </c:pt>
                <c:pt idx="1">
                  <c:v>13.38</c:v>
                </c:pt>
                <c:pt idx="2">
                  <c:v>23.7</c:v>
                </c:pt>
                <c:pt idx="3">
                  <c:v>19.7</c:v>
                </c:pt>
                <c:pt idx="4">
                  <c:v>19.399999999999999</c:v>
                </c:pt>
                <c:pt idx="5">
                  <c:v>2.2599999999999998</c:v>
                </c:pt>
                <c:pt idx="6">
                  <c:v>15.8</c:v>
                </c:pt>
                <c:pt idx="8" formatCode="0.0">
                  <c:v>16.177142857142826</c:v>
                </c:pt>
                <c:pt idx="9" formatCode="0.0">
                  <c:v>16.177142857142826</c:v>
                </c:pt>
                <c:pt idx="11">
                  <c:v>20</c:v>
                </c:pt>
              </c:numCache>
            </c:numRef>
          </c:val>
        </c:ser>
        <c:axId val="124648832"/>
        <c:axId val="124654720"/>
      </c:barChart>
      <c:catAx>
        <c:axId val="124648832"/>
        <c:scaling>
          <c:orientation val="minMax"/>
        </c:scaling>
        <c:axPos val="b"/>
        <c:numFmt formatCode="General" sourceLinked="1"/>
        <c:tickLblPos val="nextTo"/>
        <c:crossAx val="124654720"/>
        <c:crosses val="autoZero"/>
        <c:auto val="1"/>
        <c:lblAlgn val="ctr"/>
        <c:lblOffset val="100"/>
        <c:tickLblSkip val="1"/>
      </c:catAx>
      <c:valAx>
        <c:axId val="124654720"/>
        <c:scaling>
          <c:orientation val="minMax"/>
        </c:scaling>
        <c:axPos val="l"/>
        <c:majorGridlines/>
        <c:title>
          <c:tx>
            <c:rich>
              <a:bodyPr rot="0" vert="horz"/>
              <a:lstStyle/>
              <a:p>
                <a:pPr>
                  <a:defRPr/>
                </a:pPr>
                <a:r>
                  <a:rPr lang="en-US"/>
                  <a:t>µg/L</a:t>
                </a:r>
              </a:p>
            </c:rich>
          </c:tx>
        </c:title>
        <c:numFmt formatCode="General" sourceLinked="1"/>
        <c:tickLblPos val="nextTo"/>
        <c:crossAx val="124648832"/>
        <c:crosses val="autoZero"/>
        <c:crossBetween val="between"/>
      </c:valAx>
    </c:plotArea>
    <c:plotVisOnly val="1"/>
    <c:dispBlanksAs val="gap"/>
  </c:chart>
  <c:spPr>
    <a:ln w="19050" cap="rnd">
      <a:solidFill>
        <a:srgbClr val="00B050"/>
      </a:solidFill>
    </a:ln>
    <a:effectLst>
      <a:innerShdw blurRad="63500" dist="50800" dir="13500000">
        <a:prstClr val="black">
          <a:alpha val="50000"/>
        </a:prstClr>
      </a:inn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a:pPr>
            <a:r>
              <a:rPr lang="en-US"/>
              <a:t>Selenium</a:t>
            </a:r>
            <a:r>
              <a:rPr lang="en-US" baseline="0"/>
              <a:t> Study Phase III % Recovery, 20 µg/L   </a:t>
            </a:r>
            <a:endParaRPr lang="en-US"/>
          </a:p>
        </c:rich>
      </c:tx>
      <c:layout>
        <c:manualLayout>
          <c:xMode val="edge"/>
          <c:yMode val="edge"/>
          <c:x val="0.18555555555555556"/>
          <c:y val="2.4983607818253623E-2"/>
        </c:manualLayout>
      </c:layout>
    </c:title>
    <c:plotArea>
      <c:layout/>
      <c:barChart>
        <c:barDir val="col"/>
        <c:grouping val="clustered"/>
        <c:ser>
          <c:idx val="0"/>
          <c:order val="0"/>
          <c:tx>
            <c:strRef>
              <c:f>'Phase III data'!$F$5:$F$6</c:f>
              <c:strCache>
                <c:ptCount val="1"/>
                <c:pt idx="0">
                  <c:v>% Rec. 95.0</c:v>
                </c:pt>
              </c:strCache>
            </c:strRef>
          </c:tx>
          <c:spPr>
            <a:solidFill>
              <a:srgbClr val="FFFF00"/>
            </a:solidFill>
          </c:spPr>
          <c:dPt>
            <c:idx val="7"/>
            <c:spPr>
              <a:solidFill>
                <a:srgbClr val="00B050"/>
              </a:solidFill>
            </c:spPr>
          </c:dPt>
          <c:dPt>
            <c:idx val="8"/>
            <c:spPr>
              <a:solidFill>
                <a:srgbClr val="FF0000"/>
              </a:solidFill>
            </c:spPr>
          </c:dPt>
          <c:dPt>
            <c:idx val="10"/>
            <c:spPr>
              <a:solidFill>
                <a:srgbClr val="7030A0"/>
              </a:solidFill>
            </c:spPr>
          </c:dPt>
          <c:dPt>
            <c:idx val="11"/>
            <c:spPr>
              <a:solidFill>
                <a:srgbClr val="0070C0"/>
              </a:solidFill>
            </c:spPr>
          </c:dPt>
          <c:dLbls>
            <c:dLbl>
              <c:idx val="0"/>
              <c:spPr/>
              <c:txPr>
                <a:bodyPr/>
                <a:lstStyle/>
                <a:p>
                  <a:pPr>
                    <a:defRPr/>
                  </a:pPr>
                  <a:endParaRPr lang="en-US"/>
                </a:p>
              </c:txPr>
              <c:showVal val="1"/>
            </c:dLbl>
            <c:dLbl>
              <c:idx val="1"/>
              <c:spPr/>
              <c:txPr>
                <a:bodyPr/>
                <a:lstStyle/>
                <a:p>
                  <a:pPr>
                    <a:defRPr/>
                  </a:pPr>
                  <a:endParaRPr lang="en-US"/>
                </a:p>
              </c:txPr>
              <c:showVal val="1"/>
            </c:dLbl>
            <c:dLbl>
              <c:idx val="2"/>
              <c:spPr/>
              <c:txPr>
                <a:bodyPr/>
                <a:lstStyle/>
                <a:p>
                  <a:pPr>
                    <a:defRPr/>
                  </a:pPr>
                  <a:endParaRPr lang="en-US"/>
                </a:p>
              </c:txPr>
              <c:showVal val="1"/>
            </c:dLbl>
            <c:dLbl>
              <c:idx val="3"/>
              <c:spPr/>
              <c:txPr>
                <a:bodyPr/>
                <a:lstStyle/>
                <a:p>
                  <a:pPr>
                    <a:defRPr/>
                  </a:pPr>
                  <a:endParaRPr lang="en-US"/>
                </a:p>
              </c:txPr>
              <c:showVal val="1"/>
            </c:dLbl>
            <c:dLbl>
              <c:idx val="4"/>
              <c:spPr/>
              <c:txPr>
                <a:bodyPr/>
                <a:lstStyle/>
                <a:p>
                  <a:pPr>
                    <a:defRPr/>
                  </a:pPr>
                  <a:endParaRPr lang="en-US"/>
                </a:p>
              </c:txPr>
              <c:showVal val="1"/>
            </c:dLbl>
            <c:dLbl>
              <c:idx val="5"/>
              <c:spPr/>
              <c:txPr>
                <a:bodyPr/>
                <a:lstStyle/>
                <a:p>
                  <a:pPr>
                    <a:defRPr/>
                  </a:pPr>
                  <a:endParaRPr lang="en-US"/>
                </a:p>
              </c:txPr>
              <c:showVal val="1"/>
            </c:dLbl>
            <c:dLbl>
              <c:idx val="6"/>
              <c:spPr/>
              <c:txPr>
                <a:bodyPr/>
                <a:lstStyle/>
                <a:p>
                  <a:pPr>
                    <a:defRPr/>
                  </a:pPr>
                  <a:endParaRPr lang="en-US"/>
                </a:p>
              </c:txPr>
              <c:showVal val="1"/>
            </c:dLbl>
            <c:dLbl>
              <c:idx val="7"/>
              <c:spPr/>
              <c:txPr>
                <a:bodyPr/>
                <a:lstStyle/>
                <a:p>
                  <a:pPr>
                    <a:defRPr/>
                  </a:pPr>
                  <a:endParaRPr lang="en-US"/>
                </a:p>
              </c:txPr>
              <c:showVal val="1"/>
            </c:dLbl>
            <c:dLbl>
              <c:idx val="8"/>
              <c:spPr/>
              <c:txPr>
                <a:bodyPr/>
                <a:lstStyle/>
                <a:p>
                  <a:pPr>
                    <a:defRPr/>
                  </a:pPr>
                  <a:endParaRPr lang="en-US"/>
                </a:p>
              </c:txPr>
              <c:showVal val="1"/>
            </c:dLbl>
            <c:dLbl>
              <c:idx val="9"/>
              <c:spPr/>
              <c:txPr>
                <a:bodyPr/>
                <a:lstStyle/>
                <a:p>
                  <a:pPr>
                    <a:defRPr/>
                  </a:pPr>
                  <a:endParaRPr lang="en-US"/>
                </a:p>
              </c:txPr>
              <c:showVal val="1"/>
            </c:dLbl>
            <c:dLbl>
              <c:idx val="10"/>
              <c:spPr/>
              <c:txPr>
                <a:bodyPr/>
                <a:lstStyle/>
                <a:p>
                  <a:pPr>
                    <a:defRPr/>
                  </a:pPr>
                  <a:endParaRPr lang="en-US"/>
                </a:p>
              </c:txPr>
              <c:showVal val="1"/>
            </c:dLbl>
            <c:dLbl>
              <c:idx val="11"/>
              <c:spPr/>
              <c:txPr>
                <a:bodyPr/>
                <a:lstStyle/>
                <a:p>
                  <a:pPr>
                    <a:defRPr/>
                  </a:pPr>
                  <a:endParaRPr lang="en-US"/>
                </a:p>
              </c:txPr>
              <c:showVal val="1"/>
            </c:dLbl>
            <c:dLbl>
              <c:idx val="12"/>
              <c:spPr/>
              <c:txPr>
                <a:bodyPr/>
                <a:lstStyle/>
                <a:p>
                  <a:pPr>
                    <a:defRPr/>
                  </a:pPr>
                  <a:endParaRPr lang="en-US"/>
                </a:p>
              </c:txPr>
              <c:showVal val="1"/>
            </c:dLbl>
            <c:dLbl>
              <c:idx val="13"/>
              <c:showVal val="1"/>
            </c:dLbl>
            <c:dLbl>
              <c:idx val="14"/>
              <c:showVal val="1"/>
            </c:dLbl>
            <c:delete val="1"/>
          </c:dLbls>
          <c:cat>
            <c:strRef>
              <c:f>'Phase III data'!$A$6:$A$17</c:f>
              <c:strCache>
                <c:ptCount val="12"/>
                <c:pt idx="0">
                  <c:v>Appalachian Laboratories</c:v>
                </c:pt>
                <c:pt idx="1">
                  <c:v>Standard Labs (NEST)</c:v>
                </c:pt>
                <c:pt idx="2">
                  <c:v>REI Consultants</c:v>
                </c:pt>
                <c:pt idx="3">
                  <c:v>Sturm Environmental</c:v>
                </c:pt>
                <c:pt idx="4">
                  <c:v>Sturm Environmental</c:v>
                </c:pt>
                <c:pt idx="5">
                  <c:v>Acculab</c:v>
                </c:pt>
                <c:pt idx="6">
                  <c:v>Compliance Monitoring</c:v>
                </c:pt>
                <c:pt idx="8">
                  <c:v>Average, All data</c:v>
                </c:pt>
                <c:pt idx="9">
                  <c:v>Average, GFAA</c:v>
                </c:pt>
                <c:pt idx="11">
                  <c:v>Referee</c:v>
                </c:pt>
              </c:strCache>
            </c:strRef>
          </c:cat>
          <c:val>
            <c:numRef>
              <c:f>'Phase III data'!$F$6:$F$17</c:f>
              <c:numCache>
                <c:formatCode>0.0</c:formatCode>
                <c:ptCount val="12"/>
                <c:pt idx="0">
                  <c:v>95</c:v>
                </c:pt>
                <c:pt idx="1">
                  <c:v>66.900000000000006</c:v>
                </c:pt>
                <c:pt idx="2">
                  <c:v>118.5</c:v>
                </c:pt>
                <c:pt idx="3">
                  <c:v>98.5</c:v>
                </c:pt>
                <c:pt idx="4">
                  <c:v>97</c:v>
                </c:pt>
                <c:pt idx="5">
                  <c:v>11.3</c:v>
                </c:pt>
                <c:pt idx="6">
                  <c:v>79</c:v>
                </c:pt>
                <c:pt idx="8">
                  <c:v>80.885714285714286</c:v>
                </c:pt>
                <c:pt idx="9">
                  <c:v>80.885714285714286</c:v>
                </c:pt>
                <c:pt idx="11">
                  <c:v>100</c:v>
                </c:pt>
              </c:numCache>
            </c:numRef>
          </c:val>
        </c:ser>
        <c:axId val="125121664"/>
        <c:axId val="125123200"/>
      </c:barChart>
      <c:catAx>
        <c:axId val="125121664"/>
        <c:scaling>
          <c:orientation val="minMax"/>
        </c:scaling>
        <c:axPos val="b"/>
        <c:numFmt formatCode="General" sourceLinked="1"/>
        <c:tickLblPos val="nextTo"/>
        <c:crossAx val="125123200"/>
        <c:crosses val="autoZero"/>
        <c:auto val="1"/>
        <c:lblAlgn val="ctr"/>
        <c:lblOffset val="100"/>
        <c:tickLblSkip val="1"/>
      </c:catAx>
      <c:valAx>
        <c:axId val="125123200"/>
        <c:scaling>
          <c:orientation val="minMax"/>
        </c:scaling>
        <c:axPos val="l"/>
        <c:majorGridlines/>
        <c:title>
          <c:tx>
            <c:rich>
              <a:bodyPr rot="0" vert="wordArtVert"/>
              <a:lstStyle/>
              <a:p>
                <a:pPr>
                  <a:defRPr/>
                </a:pPr>
                <a:r>
                  <a:rPr lang="en-US"/>
                  <a:t>% Recovery</a:t>
                </a:r>
              </a:p>
            </c:rich>
          </c:tx>
        </c:title>
        <c:numFmt formatCode="0.0" sourceLinked="1"/>
        <c:tickLblPos val="nextTo"/>
        <c:crossAx val="125121664"/>
        <c:crosses val="autoZero"/>
        <c:crossBetween val="between"/>
      </c:valAx>
    </c:plotArea>
    <c:plotVisOnly val="1"/>
    <c:dispBlanksAs val="gap"/>
  </c:chart>
  <c:spPr>
    <a:ln w="19050" cap="rnd">
      <a:solidFill>
        <a:srgbClr val="00B050"/>
      </a:solidFill>
    </a:ln>
    <a:effectLst>
      <a:innerShdw blurRad="63500" dist="50800" dir="13500000">
        <a:prstClr val="black">
          <a:alpha val="50000"/>
        </a:prstClr>
      </a:inn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a:pPr>
            <a:r>
              <a:rPr lang="en-US"/>
              <a:t>Selenium</a:t>
            </a:r>
            <a:r>
              <a:rPr lang="en-US" baseline="0"/>
              <a:t> Study Phase IV Results, 5 µg/L </a:t>
            </a:r>
            <a:endParaRPr lang="en-US"/>
          </a:p>
        </c:rich>
      </c:tx>
      <c:layout>
        <c:manualLayout>
          <c:xMode val="edge"/>
          <c:yMode val="edge"/>
          <c:x val="0.20498267043542662"/>
          <c:y val="3.2407295241940977E-2"/>
        </c:manualLayout>
      </c:layout>
    </c:title>
    <c:plotArea>
      <c:layout/>
      <c:barChart>
        <c:barDir val="col"/>
        <c:grouping val="clustered"/>
        <c:ser>
          <c:idx val="1"/>
          <c:order val="0"/>
          <c:dPt>
            <c:idx val="0"/>
            <c:spPr>
              <a:solidFill>
                <a:srgbClr val="FFFF00"/>
              </a:solidFill>
            </c:spPr>
          </c:dPt>
          <c:dPt>
            <c:idx val="1"/>
            <c:spPr>
              <a:solidFill>
                <a:srgbClr val="FFFF00"/>
              </a:solidFill>
            </c:spPr>
          </c:dPt>
          <c:dPt>
            <c:idx val="2"/>
            <c:spPr>
              <a:solidFill>
                <a:srgbClr val="FFFF00"/>
              </a:solidFill>
            </c:spPr>
          </c:dPt>
          <c:dPt>
            <c:idx val="3"/>
            <c:spPr>
              <a:solidFill>
                <a:srgbClr val="FFFF00"/>
              </a:solidFill>
            </c:spPr>
          </c:dPt>
          <c:dPt>
            <c:idx val="4"/>
            <c:spPr>
              <a:solidFill>
                <a:srgbClr val="FFFF00"/>
              </a:solidFill>
            </c:spPr>
          </c:dPt>
          <c:dPt>
            <c:idx val="5"/>
            <c:spPr>
              <a:solidFill>
                <a:srgbClr val="FFFF00"/>
              </a:solidFill>
            </c:spPr>
          </c:dPt>
          <c:dPt>
            <c:idx val="6"/>
            <c:spPr>
              <a:solidFill>
                <a:srgbClr val="FFFF00"/>
              </a:solidFill>
            </c:spPr>
          </c:dPt>
          <c:dPt>
            <c:idx val="7"/>
            <c:spPr>
              <a:solidFill>
                <a:srgbClr val="00B050"/>
              </a:solidFill>
            </c:spPr>
          </c:dPt>
          <c:dPt>
            <c:idx val="8"/>
            <c:spPr>
              <a:solidFill>
                <a:srgbClr val="7030A0"/>
              </a:solidFill>
            </c:spPr>
          </c:dPt>
          <c:dPt>
            <c:idx val="9"/>
            <c:spPr>
              <a:solidFill>
                <a:srgbClr val="7030A0"/>
              </a:solidFill>
            </c:spPr>
          </c:dPt>
          <c:dPt>
            <c:idx val="10"/>
            <c:spPr>
              <a:solidFill>
                <a:srgbClr val="00B050"/>
              </a:solidFill>
            </c:spPr>
          </c:dPt>
          <c:dPt>
            <c:idx val="11"/>
            <c:spPr>
              <a:solidFill>
                <a:srgbClr val="00B050"/>
              </a:solidFill>
            </c:spPr>
          </c:dPt>
          <c:dPt>
            <c:idx val="13"/>
            <c:spPr>
              <a:solidFill>
                <a:srgbClr val="FF0000"/>
              </a:solidFill>
            </c:spPr>
          </c:dPt>
          <c:dPt>
            <c:idx val="14"/>
            <c:spPr>
              <a:solidFill>
                <a:srgbClr val="FFFF00"/>
              </a:solidFill>
            </c:spPr>
          </c:dPt>
          <c:dPt>
            <c:idx val="15"/>
            <c:spPr>
              <a:solidFill>
                <a:srgbClr val="00B050"/>
              </a:solidFill>
            </c:spPr>
          </c:dPt>
          <c:dPt>
            <c:idx val="16"/>
            <c:spPr>
              <a:solidFill>
                <a:srgbClr val="7030A0"/>
              </a:solidFill>
            </c:spPr>
          </c:dPt>
          <c:dLbls>
            <c:dLbl>
              <c:idx val="0"/>
              <c:dLblPos val="outEnd"/>
              <c:showVal val="1"/>
            </c:dLbl>
            <c:dLbl>
              <c:idx val="1"/>
              <c:dLblPos val="outEnd"/>
              <c:showVal val="1"/>
            </c:dLbl>
            <c:dLbl>
              <c:idx val="2"/>
              <c:dLblPos val="outEnd"/>
              <c:showVal val="1"/>
            </c:dLbl>
            <c:dLbl>
              <c:idx val="3"/>
              <c:dLblPos val="outEnd"/>
              <c:showVal val="1"/>
            </c:dLbl>
            <c:dLbl>
              <c:idx val="4"/>
              <c:dLblPos val="outEnd"/>
              <c:showVal val="1"/>
            </c:dLbl>
            <c:dLbl>
              <c:idx val="5"/>
              <c:dLblPos val="outEnd"/>
              <c:showVal val="1"/>
            </c:dLbl>
            <c:dLbl>
              <c:idx val="6"/>
              <c:tx>
                <c:rich>
                  <a:bodyPr/>
                  <a:lstStyle/>
                  <a:p>
                    <a:r>
                      <a:rPr lang="en-US"/>
                      <a:t>0</a:t>
                    </a:r>
                  </a:p>
                </c:rich>
              </c:tx>
              <c:dLblPos val="outEnd"/>
              <c:showVal val="1"/>
            </c:dLbl>
            <c:dLbl>
              <c:idx val="7"/>
              <c:dLblPos val="outEnd"/>
              <c:showVal val="1"/>
            </c:dLbl>
            <c:dLbl>
              <c:idx val="8"/>
              <c:dLblPos val="outEnd"/>
              <c:showVal val="1"/>
            </c:dLbl>
            <c:dLbl>
              <c:idx val="9"/>
              <c:dLblPos val="outEnd"/>
              <c:showVal val="1"/>
            </c:dLbl>
            <c:dLbl>
              <c:idx val="10"/>
              <c:tx>
                <c:rich>
                  <a:bodyPr/>
                  <a:lstStyle/>
                  <a:p>
                    <a:r>
                      <a:rPr lang="en-US"/>
                      <a:t>&lt;0.359</a:t>
                    </a:r>
                  </a:p>
                </c:rich>
              </c:tx>
              <c:dLblPos val="outEnd"/>
              <c:showVal val="1"/>
            </c:dLbl>
            <c:dLbl>
              <c:idx val="11"/>
              <c:showVal val="1"/>
            </c:dLbl>
            <c:dLbl>
              <c:idx val="12"/>
              <c:dLblPos val="outEnd"/>
              <c:showVal val="1"/>
            </c:dLbl>
            <c:dLbl>
              <c:idx val="13"/>
              <c:dLblPos val="outEnd"/>
              <c:showVal val="1"/>
            </c:dLbl>
            <c:dLbl>
              <c:idx val="14"/>
              <c:dLblPos val="outEnd"/>
              <c:showVal val="1"/>
            </c:dLbl>
            <c:dLbl>
              <c:idx val="15"/>
              <c:showVal val="1"/>
            </c:dLbl>
            <c:dLbl>
              <c:idx val="16"/>
              <c:showVal val="1"/>
            </c:dLbl>
            <c:delete val="1"/>
          </c:dLbls>
          <c:cat>
            <c:strRef>
              <c:f>'Phase IV data'!$A$6:$A$22</c:f>
              <c:strCache>
                <c:ptCount val="17"/>
                <c:pt idx="0">
                  <c:v>REI Consultants</c:v>
                </c:pt>
                <c:pt idx="1">
                  <c:v>BioChem</c:v>
                </c:pt>
                <c:pt idx="2">
                  <c:v>Sturm Environmental</c:v>
                </c:pt>
                <c:pt idx="3">
                  <c:v>Acculab</c:v>
                </c:pt>
                <c:pt idx="4">
                  <c:v>Standard Labs (NEST)</c:v>
                </c:pt>
                <c:pt idx="5">
                  <c:v>REI Consultants(ICP/MS)</c:v>
                </c:pt>
                <c:pt idx="6">
                  <c:v>Reliance - Bridgeport</c:v>
                </c:pt>
                <c:pt idx="7">
                  <c:v>Analabs</c:v>
                </c:pt>
                <c:pt idx="8">
                  <c:v>Tradet</c:v>
                </c:pt>
                <c:pt idx="9">
                  <c:v>REI Consultants(GHAF)</c:v>
                </c:pt>
                <c:pt idx="11">
                  <c:v>Referee</c:v>
                </c:pt>
                <c:pt idx="13">
                  <c:v>Average, All data</c:v>
                </c:pt>
                <c:pt idx="14">
                  <c:v>Average, GFAA</c:v>
                </c:pt>
                <c:pt idx="15">
                  <c:v>Average ICP/MS</c:v>
                </c:pt>
                <c:pt idx="16">
                  <c:v>Average Hydride</c:v>
                </c:pt>
              </c:strCache>
            </c:strRef>
          </c:cat>
          <c:val>
            <c:numRef>
              <c:f>'Phase IV data'!$C$6:$C$22</c:f>
              <c:numCache>
                <c:formatCode>General</c:formatCode>
                <c:ptCount val="17"/>
                <c:pt idx="0">
                  <c:v>4.2</c:v>
                </c:pt>
                <c:pt idx="1">
                  <c:v>5.8</c:v>
                </c:pt>
                <c:pt idx="2">
                  <c:v>3.9</c:v>
                </c:pt>
                <c:pt idx="3">
                  <c:v>3.8499999999999988</c:v>
                </c:pt>
                <c:pt idx="4">
                  <c:v>4.01</c:v>
                </c:pt>
                <c:pt idx="5">
                  <c:v>0</c:v>
                </c:pt>
                <c:pt idx="6">
                  <c:v>0</c:v>
                </c:pt>
                <c:pt idx="7">
                  <c:v>3.79</c:v>
                </c:pt>
                <c:pt idx="8">
                  <c:v>5.7</c:v>
                </c:pt>
                <c:pt idx="9">
                  <c:v>4.8</c:v>
                </c:pt>
                <c:pt idx="11">
                  <c:v>5.2</c:v>
                </c:pt>
                <c:pt idx="13" formatCode="0.0">
                  <c:v>3.6049999999999995</c:v>
                </c:pt>
                <c:pt idx="14" formatCode="0.0">
                  <c:v>4.3519999999999985</c:v>
                </c:pt>
                <c:pt idx="15" formatCode="0.0">
                  <c:v>1.2633333333333334</c:v>
                </c:pt>
                <c:pt idx="16">
                  <c:v>5.25</c:v>
                </c:pt>
              </c:numCache>
            </c:numRef>
          </c:val>
        </c:ser>
        <c:axId val="125169664"/>
        <c:axId val="125171200"/>
      </c:barChart>
      <c:catAx>
        <c:axId val="125169664"/>
        <c:scaling>
          <c:orientation val="minMax"/>
        </c:scaling>
        <c:axPos val="b"/>
        <c:numFmt formatCode="General" sourceLinked="1"/>
        <c:tickLblPos val="nextTo"/>
        <c:crossAx val="125171200"/>
        <c:crosses val="autoZero"/>
        <c:auto val="1"/>
        <c:lblAlgn val="ctr"/>
        <c:lblOffset val="100"/>
        <c:tickLblSkip val="1"/>
      </c:catAx>
      <c:valAx>
        <c:axId val="125171200"/>
        <c:scaling>
          <c:orientation val="minMax"/>
        </c:scaling>
        <c:axPos val="l"/>
        <c:majorGridlines/>
        <c:title>
          <c:tx>
            <c:rich>
              <a:bodyPr rot="0" vert="horz"/>
              <a:lstStyle/>
              <a:p>
                <a:pPr>
                  <a:defRPr/>
                </a:pPr>
                <a:r>
                  <a:rPr lang="en-US"/>
                  <a:t>µg/L</a:t>
                </a:r>
              </a:p>
            </c:rich>
          </c:tx>
        </c:title>
        <c:numFmt formatCode="General" sourceLinked="1"/>
        <c:tickLblPos val="nextTo"/>
        <c:crossAx val="125169664"/>
        <c:crosses val="autoZero"/>
        <c:crossBetween val="between"/>
      </c:valAx>
    </c:plotArea>
    <c:plotVisOnly val="1"/>
    <c:dispBlanksAs val="gap"/>
  </c:chart>
  <c:spPr>
    <a:ln w="19050" cap="rnd">
      <a:solidFill>
        <a:srgbClr val="00B050"/>
      </a:solidFill>
    </a:ln>
    <a:effectLst>
      <a:innerShdw blurRad="63500" dist="50800" dir="13500000">
        <a:prstClr val="black">
          <a:alpha val="50000"/>
        </a:prstClr>
      </a:inn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EABF29615A694BAFF3491F8FBBFBE6" ma:contentTypeVersion="6" ma:contentTypeDescription="Create a new document." ma:contentTypeScope="" ma:versionID="a61f5f88fd0f4a5693509d29af75ee39">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89A7E2-876C-4860-937B-34D277B48830}"/>
</file>

<file path=customXml/itemProps2.xml><?xml version="1.0" encoding="utf-8"?>
<ds:datastoreItem xmlns:ds="http://schemas.openxmlformats.org/officeDocument/2006/customXml" ds:itemID="{4BD74159-5339-4001-BB6E-9ACC12A68A00}"/>
</file>

<file path=customXml/itemProps3.xml><?xml version="1.0" encoding="utf-8"?>
<ds:datastoreItem xmlns:ds="http://schemas.openxmlformats.org/officeDocument/2006/customXml" ds:itemID="{E884E5A9-6E15-4A72-BE1B-1E47BD165F09}"/>
</file>

<file path=customXml/itemProps4.xml><?xml version="1.0" encoding="utf-8"?>
<ds:datastoreItem xmlns:ds="http://schemas.openxmlformats.org/officeDocument/2006/customXml" ds:itemID="{863987B3-4AAE-48A0-A3F6-78B8077B196B}"/>
</file>

<file path=docProps/app.xml><?xml version="1.0" encoding="utf-8"?>
<Properties xmlns="http://schemas.openxmlformats.org/officeDocument/2006/extended-properties" xmlns:vt="http://schemas.openxmlformats.org/officeDocument/2006/docPropsVTypes">
  <Template>Normal.dotm</Template>
  <TotalTime>0</TotalTime>
  <Pages>27</Pages>
  <Words>3661</Words>
  <Characters>20874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24487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A008291</dc:creator>
  <cp:keywords/>
  <dc:description/>
  <cp:lastModifiedBy>A008291</cp:lastModifiedBy>
  <cp:revision>2</cp:revision>
  <cp:lastPrinted>2010-04-09T16:05:00Z</cp:lastPrinted>
  <dcterms:created xsi:type="dcterms:W3CDTF">2010-05-04T14:32:00Z</dcterms:created>
  <dcterms:modified xsi:type="dcterms:W3CDTF">2010-05-04T14:32:00Z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0x010100F7EABF29615A694BAFF3491F8FBBFBE6</vt:lpwstr>
  </property>
</Properties>
</file>